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DB4E" w14:textId="32579B27" w:rsidR="00601789" w:rsidRPr="00601789" w:rsidRDefault="00601789" w:rsidP="00601789">
      <w:pPr>
        <w:pStyle w:val="ListParagraph"/>
        <w:numPr>
          <w:ilvl w:val="0"/>
          <w:numId w:val="14"/>
        </w:numPr>
        <w:jc w:val="both"/>
        <w:rPr>
          <w:rFonts w:ascii="Times New Roman" w:hAnsi="Times New Roman" w:cs="Times New Roman"/>
          <w:b/>
          <w:bCs/>
        </w:rPr>
      </w:pPr>
      <w:r w:rsidRPr="00601789">
        <w:rPr>
          <w:rFonts w:ascii="Times New Roman" w:hAnsi="Times New Roman" w:cs="Times New Roman"/>
          <w:b/>
          <w:bCs/>
        </w:rPr>
        <w:t xml:space="preserve">Application/Supporting Documentation. Construction of the proposed project shall be in substantial conformance with </w:t>
      </w:r>
      <w:proofErr w:type="gramStart"/>
      <w:r w:rsidRPr="00601789">
        <w:rPr>
          <w:rFonts w:ascii="Times New Roman" w:hAnsi="Times New Roman" w:cs="Times New Roman"/>
          <w:b/>
          <w:bCs/>
        </w:rPr>
        <w:t>all of</w:t>
      </w:r>
      <w:proofErr w:type="gramEnd"/>
      <w:r w:rsidRPr="00601789">
        <w:rPr>
          <w:rFonts w:ascii="Times New Roman" w:hAnsi="Times New Roman" w:cs="Times New Roman"/>
          <w:b/>
          <w:bCs/>
        </w:rPr>
        <w:t xml:space="preserve"> the following:</w:t>
      </w:r>
    </w:p>
    <w:p w14:paraId="0C7B75F1" w14:textId="764C062D" w:rsidR="000E033E" w:rsidRPr="00063408" w:rsidRDefault="00063408" w:rsidP="00063408">
      <w:pPr>
        <w:pStyle w:val="ListParagraph"/>
        <w:numPr>
          <w:ilvl w:val="0"/>
          <w:numId w:val="8"/>
        </w:numPr>
        <w:jc w:val="both"/>
        <w:rPr>
          <w:rFonts w:ascii="Times New Roman" w:hAnsi="Times New Roman" w:cs="Times New Roman"/>
          <w:b/>
          <w:bCs/>
          <w:i/>
          <w:iCs/>
        </w:rPr>
      </w:pPr>
      <w:r w:rsidRPr="00063408">
        <w:rPr>
          <w:rFonts w:ascii="Times New Roman" w:hAnsi="Times New Roman" w:cs="Times New Roman"/>
        </w:rPr>
        <w:t>The Applicant’s submittal package to PZB prepared by GRAEF to include:</w:t>
      </w:r>
    </w:p>
    <w:p w14:paraId="095C1523" w14:textId="77449716" w:rsidR="00063408" w:rsidRPr="00601789" w:rsidRDefault="00063408" w:rsidP="00063408">
      <w:pPr>
        <w:pStyle w:val="ListParagraph"/>
        <w:numPr>
          <w:ilvl w:val="1"/>
          <w:numId w:val="8"/>
        </w:numPr>
        <w:jc w:val="both"/>
        <w:rPr>
          <w:rFonts w:ascii="Times New Roman" w:hAnsi="Times New Roman" w:cs="Times New Roman"/>
          <w:b/>
          <w:bCs/>
          <w:i/>
          <w:iCs/>
        </w:rPr>
      </w:pPr>
      <w:r w:rsidRPr="00063408">
        <w:rPr>
          <w:rFonts w:ascii="Times New Roman" w:hAnsi="Times New Roman" w:cs="Times New Roman"/>
        </w:rPr>
        <w:t>Maximum building height shall not exceed</w:t>
      </w:r>
      <w:r>
        <w:rPr>
          <w:rFonts w:ascii="Times New Roman" w:hAnsi="Times New Roman" w:cs="Times New Roman"/>
        </w:rPr>
        <w:t xml:space="preserve"> </w:t>
      </w:r>
      <w:r w:rsidRPr="008D1025">
        <w:rPr>
          <w:rFonts w:ascii="Times New Roman" w:hAnsi="Times New Roman" w:cs="Times New Roman"/>
          <w:color w:val="000000" w:themeColor="text1"/>
        </w:rPr>
        <w:t>67 feet</w:t>
      </w:r>
      <w:r w:rsidR="00D96B34">
        <w:rPr>
          <w:rFonts w:ascii="Times New Roman" w:hAnsi="Times New Roman" w:cs="Times New Roman"/>
          <w:color w:val="000000" w:themeColor="text1"/>
        </w:rPr>
        <w:t>,</w:t>
      </w:r>
      <w:r w:rsidRPr="008D1025">
        <w:rPr>
          <w:rFonts w:ascii="Times New Roman" w:hAnsi="Times New Roman" w:cs="Times New Roman"/>
          <w:color w:val="000000" w:themeColor="text1"/>
        </w:rPr>
        <w:t xml:space="preserve"> </w:t>
      </w:r>
      <w:r w:rsidR="00BB0D41" w:rsidRPr="0049181D">
        <w:rPr>
          <w:rFonts w:ascii="Times New Roman" w:hAnsi="Times New Roman" w:cs="Times New Roman"/>
          <w:color w:val="000000" w:themeColor="text1"/>
        </w:rPr>
        <w:t>including architectural feature</w:t>
      </w:r>
      <w:r w:rsidR="0049181D" w:rsidRPr="0049181D">
        <w:rPr>
          <w:rFonts w:ascii="Times New Roman" w:hAnsi="Times New Roman" w:cs="Times New Roman"/>
          <w:color w:val="000000" w:themeColor="text1"/>
        </w:rPr>
        <w:t>s</w:t>
      </w:r>
      <w:r w:rsidR="00BB0D41" w:rsidRPr="0049181D">
        <w:rPr>
          <w:rFonts w:ascii="Times New Roman" w:hAnsi="Times New Roman" w:cs="Times New Roman"/>
          <w:color w:val="000000" w:themeColor="text1"/>
        </w:rPr>
        <w:t>.</w:t>
      </w:r>
    </w:p>
    <w:p w14:paraId="6159EAE9" w14:textId="05CB1DFB" w:rsidR="00601789" w:rsidRPr="00601789" w:rsidRDefault="00601789" w:rsidP="00063408">
      <w:pPr>
        <w:pStyle w:val="ListParagraph"/>
        <w:numPr>
          <w:ilvl w:val="1"/>
          <w:numId w:val="8"/>
        </w:numPr>
        <w:jc w:val="both"/>
        <w:rPr>
          <w:rFonts w:ascii="Times New Roman" w:hAnsi="Times New Roman" w:cs="Times New Roman"/>
        </w:rPr>
      </w:pPr>
      <w:r w:rsidRPr="00601789">
        <w:rPr>
          <w:rFonts w:ascii="Times New Roman" w:hAnsi="Times New Roman" w:cs="Times New Roman"/>
        </w:rPr>
        <w:t xml:space="preserve">3.0 FAR (Publix floor area: </w:t>
      </w:r>
      <w:r w:rsidR="00365089">
        <w:rPr>
          <w:rFonts w:ascii="Times New Roman" w:hAnsi="Times New Roman" w:cs="Times New Roman"/>
        </w:rPr>
        <w:t>approximately 60</w:t>
      </w:r>
      <w:r w:rsidRPr="00601789">
        <w:rPr>
          <w:rFonts w:ascii="Times New Roman" w:hAnsi="Times New Roman" w:cs="Times New Roman"/>
        </w:rPr>
        <w:t>,3</w:t>
      </w:r>
      <w:r w:rsidR="00365089">
        <w:rPr>
          <w:rFonts w:ascii="Times New Roman" w:hAnsi="Times New Roman" w:cs="Times New Roman"/>
        </w:rPr>
        <w:t>73</w:t>
      </w:r>
      <w:r w:rsidRPr="00601789">
        <w:rPr>
          <w:rFonts w:ascii="Times New Roman" w:hAnsi="Times New Roman" w:cs="Times New Roman"/>
        </w:rPr>
        <w:t xml:space="preserve"> sq. ft. and Liquor floor area: </w:t>
      </w:r>
      <w:r w:rsidR="00365089">
        <w:rPr>
          <w:rFonts w:ascii="Times New Roman" w:hAnsi="Times New Roman" w:cs="Times New Roman"/>
        </w:rPr>
        <w:t xml:space="preserve">approximately </w:t>
      </w:r>
      <w:r w:rsidRPr="00601789">
        <w:rPr>
          <w:rFonts w:ascii="Times New Roman" w:hAnsi="Times New Roman" w:cs="Times New Roman"/>
        </w:rPr>
        <w:t>2</w:t>
      </w:r>
      <w:r w:rsidR="00365089">
        <w:rPr>
          <w:rFonts w:ascii="Times New Roman" w:hAnsi="Times New Roman" w:cs="Times New Roman"/>
        </w:rPr>
        <w:t>,668</w:t>
      </w:r>
      <w:r w:rsidRPr="00601789">
        <w:rPr>
          <w:rFonts w:ascii="Times New Roman" w:hAnsi="Times New Roman" w:cs="Times New Roman"/>
        </w:rPr>
        <w:t xml:space="preserve"> sq. ft.)</w:t>
      </w:r>
      <w:r w:rsidR="00BB0D41">
        <w:rPr>
          <w:rFonts w:ascii="Times New Roman" w:hAnsi="Times New Roman" w:cs="Times New Roman"/>
        </w:rPr>
        <w:t xml:space="preserve">  </w:t>
      </w:r>
    </w:p>
    <w:p w14:paraId="0BCB6712" w14:textId="77777777" w:rsidR="00601789" w:rsidRPr="00601789" w:rsidRDefault="00601789" w:rsidP="00063408">
      <w:pPr>
        <w:pStyle w:val="ListParagraph"/>
        <w:numPr>
          <w:ilvl w:val="1"/>
          <w:numId w:val="8"/>
        </w:numPr>
        <w:jc w:val="both"/>
        <w:rPr>
          <w:rFonts w:ascii="Times New Roman" w:hAnsi="Times New Roman" w:cs="Times New Roman"/>
        </w:rPr>
      </w:pPr>
      <w:r w:rsidRPr="00601789">
        <w:rPr>
          <w:rFonts w:ascii="Times New Roman" w:hAnsi="Times New Roman" w:cs="Times New Roman"/>
        </w:rPr>
        <w:t xml:space="preserve">40,726 sq. ft. (30%) of total onsite open space </w:t>
      </w:r>
    </w:p>
    <w:p w14:paraId="70F22F33" w14:textId="0D7479BF" w:rsidR="00601789" w:rsidRPr="00BE7902" w:rsidRDefault="00601789" w:rsidP="00063408">
      <w:pPr>
        <w:pStyle w:val="ListParagraph"/>
        <w:numPr>
          <w:ilvl w:val="1"/>
          <w:numId w:val="8"/>
        </w:numPr>
        <w:jc w:val="both"/>
        <w:rPr>
          <w:rFonts w:ascii="Times New Roman" w:hAnsi="Times New Roman" w:cs="Times New Roman"/>
          <w:b/>
          <w:bCs/>
          <w:i/>
          <w:iCs/>
        </w:rPr>
      </w:pPr>
      <w:r w:rsidRPr="00601789">
        <w:rPr>
          <w:rFonts w:ascii="Times New Roman" w:hAnsi="Times New Roman" w:cs="Times New Roman"/>
        </w:rPr>
        <w:t>2</w:t>
      </w:r>
      <w:r w:rsidR="00EA7F4B">
        <w:rPr>
          <w:rFonts w:ascii="Times New Roman" w:hAnsi="Times New Roman" w:cs="Times New Roman"/>
        </w:rPr>
        <w:t>79</w:t>
      </w:r>
      <w:r w:rsidRPr="00601789">
        <w:rPr>
          <w:rFonts w:ascii="Times New Roman" w:hAnsi="Times New Roman" w:cs="Times New Roman"/>
        </w:rPr>
        <w:t xml:space="preserve"> parking spaces at the second and third </w:t>
      </w:r>
      <w:proofErr w:type="gramStart"/>
      <w:r w:rsidRPr="00601789">
        <w:rPr>
          <w:rFonts w:ascii="Times New Roman" w:hAnsi="Times New Roman" w:cs="Times New Roman"/>
        </w:rPr>
        <w:t>level</w:t>
      </w:r>
      <w:proofErr w:type="gramEnd"/>
    </w:p>
    <w:p w14:paraId="4038111E" w14:textId="7FFB0DD7" w:rsidR="00665E13" w:rsidRPr="008D1025" w:rsidRDefault="00BE7902" w:rsidP="00BE7902">
      <w:pPr>
        <w:pStyle w:val="ListParagraph"/>
        <w:numPr>
          <w:ilvl w:val="0"/>
          <w:numId w:val="13"/>
        </w:numPr>
        <w:jc w:val="both"/>
        <w:rPr>
          <w:rFonts w:ascii="Times New Roman" w:hAnsi="Times New Roman" w:cs="Times New Roman"/>
          <w:color w:val="000000" w:themeColor="text1"/>
        </w:rPr>
      </w:pPr>
      <w:r w:rsidRPr="008D1025">
        <w:rPr>
          <w:rFonts w:ascii="Times New Roman" w:hAnsi="Times New Roman" w:cs="Times New Roman"/>
          <w:color w:val="000000" w:themeColor="text1"/>
        </w:rPr>
        <w:t>Updated plans, elevations, and renderings prepared by Fisher Architects dated</w:t>
      </w:r>
      <w:r w:rsidR="00D25B43">
        <w:rPr>
          <w:rFonts w:ascii="Times New Roman" w:hAnsi="Times New Roman" w:cs="Times New Roman"/>
          <w:color w:val="000000" w:themeColor="text1"/>
        </w:rPr>
        <w:t xml:space="preserve"> -----</w:t>
      </w:r>
      <w:r w:rsidR="00BB0D41">
        <w:rPr>
          <w:rFonts w:ascii="Times New Roman" w:hAnsi="Times New Roman" w:cs="Times New Roman"/>
          <w:color w:val="000000" w:themeColor="text1"/>
        </w:rPr>
        <w:t xml:space="preserve"> </w:t>
      </w:r>
    </w:p>
    <w:p w14:paraId="26D11006" w14:textId="068B9AC0" w:rsidR="00601789" w:rsidRDefault="00601789" w:rsidP="00601789">
      <w:pPr>
        <w:pStyle w:val="ListParagraph"/>
        <w:numPr>
          <w:ilvl w:val="0"/>
          <w:numId w:val="8"/>
        </w:numPr>
        <w:jc w:val="both"/>
        <w:rPr>
          <w:rFonts w:ascii="Times New Roman" w:hAnsi="Times New Roman" w:cs="Times New Roman"/>
        </w:rPr>
      </w:pPr>
      <w:r w:rsidRPr="00601789">
        <w:rPr>
          <w:rFonts w:ascii="Times New Roman" w:hAnsi="Times New Roman" w:cs="Times New Roman"/>
        </w:rPr>
        <w:t>Traffic Impact Study, dated October 6, 2023, prepared by CHA.</w:t>
      </w:r>
    </w:p>
    <w:p w14:paraId="3D9248E9" w14:textId="12126028" w:rsidR="00601789" w:rsidRDefault="00601789" w:rsidP="00601789">
      <w:pPr>
        <w:pStyle w:val="ListParagraph"/>
        <w:numPr>
          <w:ilvl w:val="0"/>
          <w:numId w:val="8"/>
        </w:numPr>
        <w:jc w:val="both"/>
        <w:rPr>
          <w:rFonts w:ascii="Times New Roman" w:hAnsi="Times New Roman" w:cs="Times New Roman"/>
        </w:rPr>
      </w:pPr>
      <w:r w:rsidRPr="00601789">
        <w:rPr>
          <w:rFonts w:ascii="Times New Roman" w:hAnsi="Times New Roman" w:cs="Times New Roman"/>
        </w:rPr>
        <w:t>The site plan shall be updated to include the following:</w:t>
      </w:r>
    </w:p>
    <w:p w14:paraId="1B43095D" w14:textId="333A50EF" w:rsidR="00601789" w:rsidRDefault="00601789" w:rsidP="00601789">
      <w:pPr>
        <w:pStyle w:val="ListParagraph"/>
        <w:numPr>
          <w:ilvl w:val="1"/>
          <w:numId w:val="8"/>
        </w:numPr>
        <w:jc w:val="both"/>
        <w:rPr>
          <w:rFonts w:ascii="Times New Roman" w:hAnsi="Times New Roman" w:cs="Times New Roman"/>
        </w:rPr>
      </w:pPr>
      <w:r w:rsidRPr="00601789">
        <w:rPr>
          <w:rFonts w:ascii="Times New Roman" w:hAnsi="Times New Roman" w:cs="Times New Roman"/>
        </w:rPr>
        <w:t xml:space="preserve">Coordination with the Public Works Greenspace Management and revision </w:t>
      </w:r>
      <w:r w:rsidR="008D1025" w:rsidRPr="00601789">
        <w:rPr>
          <w:rFonts w:ascii="Times New Roman" w:hAnsi="Times New Roman" w:cs="Times New Roman"/>
        </w:rPr>
        <w:t xml:space="preserve">of </w:t>
      </w:r>
      <w:r w:rsidR="008D1025">
        <w:rPr>
          <w:rFonts w:ascii="Times New Roman" w:hAnsi="Times New Roman" w:cs="Times New Roman"/>
        </w:rPr>
        <w:t>the</w:t>
      </w:r>
      <w:r w:rsidRPr="00601789">
        <w:rPr>
          <w:rFonts w:ascii="Times New Roman" w:hAnsi="Times New Roman" w:cs="Times New Roman"/>
        </w:rPr>
        <w:t xml:space="preserve"> </w:t>
      </w:r>
      <w:proofErr w:type="spellStart"/>
      <w:r w:rsidRPr="00601789">
        <w:rPr>
          <w:rFonts w:ascii="Times New Roman" w:hAnsi="Times New Roman" w:cs="Times New Roman"/>
        </w:rPr>
        <w:t>Salzedo</w:t>
      </w:r>
      <w:proofErr w:type="spellEnd"/>
      <w:r w:rsidRPr="00601789">
        <w:rPr>
          <w:rFonts w:ascii="Times New Roman" w:hAnsi="Times New Roman" w:cs="Times New Roman"/>
        </w:rPr>
        <w:t xml:space="preserve"> public park and Le Jeune Road plaza designs, including </w:t>
      </w:r>
      <w:proofErr w:type="gramStart"/>
      <w:r w:rsidRPr="00601789">
        <w:rPr>
          <w:rFonts w:ascii="Times New Roman" w:hAnsi="Times New Roman" w:cs="Times New Roman"/>
        </w:rPr>
        <w:t xml:space="preserve">replacing </w:t>
      </w:r>
      <w:r>
        <w:rPr>
          <w:rFonts w:ascii="Times New Roman" w:hAnsi="Times New Roman" w:cs="Times New Roman"/>
        </w:rPr>
        <w:t xml:space="preserve"> </w:t>
      </w:r>
      <w:r w:rsidRPr="00601789">
        <w:rPr>
          <w:rFonts w:ascii="Times New Roman" w:hAnsi="Times New Roman" w:cs="Times New Roman"/>
        </w:rPr>
        <w:t>proposed</w:t>
      </w:r>
      <w:proofErr w:type="gramEnd"/>
      <w:r w:rsidRPr="00601789">
        <w:rPr>
          <w:rFonts w:ascii="Times New Roman" w:hAnsi="Times New Roman" w:cs="Times New Roman"/>
        </w:rPr>
        <w:t xml:space="preserve"> palms with Oak trees and removal of raised planters.</w:t>
      </w:r>
    </w:p>
    <w:p w14:paraId="047F2209" w14:textId="73F079D0" w:rsidR="00601789" w:rsidRDefault="00601789" w:rsidP="00601789">
      <w:pPr>
        <w:pStyle w:val="ListParagraph"/>
        <w:numPr>
          <w:ilvl w:val="0"/>
          <w:numId w:val="8"/>
        </w:numPr>
        <w:jc w:val="both"/>
        <w:rPr>
          <w:rFonts w:ascii="Times New Roman" w:hAnsi="Times New Roman" w:cs="Times New Roman"/>
        </w:rPr>
      </w:pPr>
      <w:r w:rsidRPr="00601789">
        <w:rPr>
          <w:rFonts w:ascii="Times New Roman" w:hAnsi="Times New Roman" w:cs="Times New Roman"/>
        </w:rPr>
        <w:t xml:space="preserve">The public rights-of-way </w:t>
      </w:r>
      <w:proofErr w:type="gramStart"/>
      <w:r w:rsidRPr="00601789">
        <w:rPr>
          <w:rFonts w:ascii="Times New Roman" w:hAnsi="Times New Roman" w:cs="Times New Roman"/>
        </w:rPr>
        <w:t>shall</w:t>
      </w:r>
      <w:proofErr w:type="gramEnd"/>
      <w:r w:rsidRPr="00601789">
        <w:rPr>
          <w:rFonts w:ascii="Times New Roman" w:hAnsi="Times New Roman" w:cs="Times New Roman"/>
        </w:rPr>
        <w:t xml:space="preserve"> be updated to include the following</w:t>
      </w:r>
      <w:r w:rsidR="00365089">
        <w:rPr>
          <w:rFonts w:ascii="Times New Roman" w:hAnsi="Times New Roman" w:cs="Times New Roman"/>
        </w:rPr>
        <w:t xml:space="preserve"> subject to F</w:t>
      </w:r>
      <w:r w:rsidR="00365089" w:rsidRPr="008E025B">
        <w:rPr>
          <w:rFonts w:ascii="Times New Roman" w:hAnsi="Times New Roman" w:cs="Times New Roman"/>
        </w:rPr>
        <w:t>lorida Department of Transportation</w:t>
      </w:r>
      <w:r w:rsidR="00365089">
        <w:rPr>
          <w:rFonts w:ascii="Times New Roman" w:hAnsi="Times New Roman" w:cs="Times New Roman"/>
        </w:rPr>
        <w:t xml:space="preserve"> (FDOT), Miami-Dade County, and City of Coral Gables approval with the understanding that issuance of building permits and TCO</w:t>
      </w:r>
      <w:r w:rsidR="00EA7F4B">
        <w:rPr>
          <w:rFonts w:ascii="Times New Roman" w:hAnsi="Times New Roman" w:cs="Times New Roman"/>
        </w:rPr>
        <w:t xml:space="preserve"> </w:t>
      </w:r>
      <w:r w:rsidR="00365089">
        <w:rPr>
          <w:rFonts w:ascii="Times New Roman" w:hAnsi="Times New Roman" w:cs="Times New Roman"/>
        </w:rPr>
        <w:t xml:space="preserve">will not be conditioned upon approval of these agencies: </w:t>
      </w:r>
    </w:p>
    <w:p w14:paraId="51BA13C1" w14:textId="27EB251B" w:rsidR="00286E7A" w:rsidRDefault="00286E7A" w:rsidP="00601789">
      <w:pPr>
        <w:pStyle w:val="ListParagraph"/>
        <w:numPr>
          <w:ilvl w:val="1"/>
          <w:numId w:val="8"/>
        </w:numPr>
        <w:jc w:val="both"/>
        <w:rPr>
          <w:rFonts w:ascii="Times New Roman" w:hAnsi="Times New Roman" w:cs="Times New Roman"/>
        </w:rPr>
      </w:pPr>
      <w:r w:rsidRPr="008D1025">
        <w:rPr>
          <w:rFonts w:ascii="Times New Roman" w:hAnsi="Times New Roman" w:cs="Times New Roman"/>
          <w:color w:val="000000" w:themeColor="text1"/>
        </w:rPr>
        <w:t>Two-way cycle tracks on the south side of</w:t>
      </w:r>
      <w:r w:rsidRPr="00601789">
        <w:rPr>
          <w:rFonts w:ascii="Times New Roman" w:hAnsi="Times New Roman" w:cs="Times New Roman"/>
          <w:color w:val="FF0000"/>
        </w:rPr>
        <w:t xml:space="preserve"> </w:t>
      </w:r>
      <w:r w:rsidRPr="00601789">
        <w:rPr>
          <w:rFonts w:ascii="Times New Roman" w:hAnsi="Times New Roman" w:cs="Times New Roman"/>
        </w:rPr>
        <w:t xml:space="preserve">Andalusia and </w:t>
      </w:r>
      <w:r w:rsidRPr="008D1025">
        <w:rPr>
          <w:rFonts w:ascii="Times New Roman" w:hAnsi="Times New Roman" w:cs="Times New Roman"/>
          <w:color w:val="000000" w:themeColor="text1"/>
        </w:rPr>
        <w:t>the west side of</w:t>
      </w:r>
      <w:r w:rsidRPr="00601789">
        <w:rPr>
          <w:rFonts w:ascii="Times New Roman" w:hAnsi="Times New Roman" w:cs="Times New Roman"/>
          <w:color w:val="FF0000"/>
        </w:rPr>
        <w:t xml:space="preserve"> </w:t>
      </w:r>
      <w:proofErr w:type="spellStart"/>
      <w:r w:rsidRPr="00601789">
        <w:rPr>
          <w:rFonts w:ascii="Times New Roman" w:hAnsi="Times New Roman" w:cs="Times New Roman"/>
        </w:rPr>
        <w:t>Salzedo</w:t>
      </w:r>
      <w:proofErr w:type="spellEnd"/>
      <w:r w:rsidRPr="00601789">
        <w:rPr>
          <w:rFonts w:ascii="Times New Roman" w:hAnsi="Times New Roman" w:cs="Times New Roman"/>
        </w:rPr>
        <w:t>, between Miracle Mile and Almeria</w:t>
      </w:r>
      <w:r w:rsidR="008D1025">
        <w:rPr>
          <w:rFonts w:ascii="Times New Roman" w:hAnsi="Times New Roman" w:cs="Times New Roman"/>
          <w:color w:val="FF0000"/>
        </w:rPr>
        <w:t xml:space="preserve"> </w:t>
      </w:r>
      <w:r w:rsidR="008D1025">
        <w:rPr>
          <w:rFonts w:ascii="Times New Roman" w:hAnsi="Times New Roman" w:cs="Times New Roman"/>
          <w:color w:val="000000" w:themeColor="text1"/>
        </w:rPr>
        <w:t>or as approved by City of Coral Gables and Miami-Dade County</w:t>
      </w:r>
      <w:r w:rsidRPr="00601789">
        <w:rPr>
          <w:rFonts w:ascii="Times New Roman" w:hAnsi="Times New Roman" w:cs="Times New Roman"/>
        </w:rPr>
        <w:t xml:space="preserve">. Final approval of </w:t>
      </w:r>
      <w:r w:rsidR="008D1025">
        <w:rPr>
          <w:rFonts w:ascii="Times New Roman" w:hAnsi="Times New Roman" w:cs="Times New Roman"/>
        </w:rPr>
        <w:t>location, design, and width of lanes</w:t>
      </w:r>
      <w:r w:rsidRPr="00601789">
        <w:rPr>
          <w:rFonts w:ascii="Times New Roman" w:hAnsi="Times New Roman" w:cs="Times New Roman"/>
        </w:rPr>
        <w:t xml:space="preserve"> will be subject to both Miami-Dade County and the City of Coral Gables.</w:t>
      </w:r>
    </w:p>
    <w:p w14:paraId="3F682A4D" w14:textId="1F1AC453" w:rsidR="008E025B" w:rsidRDefault="008E025B" w:rsidP="008E025B">
      <w:pPr>
        <w:pStyle w:val="ListParagraph"/>
        <w:numPr>
          <w:ilvl w:val="1"/>
          <w:numId w:val="8"/>
        </w:numPr>
        <w:jc w:val="both"/>
        <w:rPr>
          <w:rFonts w:ascii="Times New Roman" w:hAnsi="Times New Roman" w:cs="Times New Roman"/>
        </w:rPr>
      </w:pPr>
      <w:r w:rsidRPr="008E025B">
        <w:rPr>
          <w:rFonts w:ascii="Times New Roman" w:hAnsi="Times New Roman" w:cs="Times New Roman"/>
        </w:rPr>
        <w:t xml:space="preserve">Use of Coral Gables Beige concrete on the public sidewalks </w:t>
      </w:r>
      <w:proofErr w:type="gramStart"/>
      <w:r w:rsidRPr="008E025B">
        <w:rPr>
          <w:rFonts w:ascii="Times New Roman" w:hAnsi="Times New Roman" w:cs="Times New Roman"/>
        </w:rPr>
        <w:t>on</w:t>
      </w:r>
      <w:proofErr w:type="gramEnd"/>
      <w:r w:rsidRPr="008E025B">
        <w:rPr>
          <w:rFonts w:ascii="Times New Roman" w:hAnsi="Times New Roman" w:cs="Times New Roman"/>
        </w:rPr>
        <w:t xml:space="preserve"> Andalusia and </w:t>
      </w:r>
      <w:r>
        <w:rPr>
          <w:rFonts w:ascii="Times New Roman" w:hAnsi="Times New Roman" w:cs="Times New Roman"/>
        </w:rPr>
        <w:t>Valencia</w:t>
      </w:r>
      <w:r w:rsidRPr="008E025B">
        <w:rPr>
          <w:rFonts w:ascii="Times New Roman" w:hAnsi="Times New Roman" w:cs="Times New Roman"/>
        </w:rPr>
        <w:t xml:space="preserve">. Revised paver design may be required within </w:t>
      </w:r>
      <w:proofErr w:type="gramStart"/>
      <w:r w:rsidRPr="008E025B">
        <w:rPr>
          <w:rFonts w:ascii="Times New Roman" w:hAnsi="Times New Roman" w:cs="Times New Roman"/>
        </w:rPr>
        <w:t>the private</w:t>
      </w:r>
      <w:proofErr w:type="gramEnd"/>
      <w:r w:rsidRPr="008E025B">
        <w:rPr>
          <w:rFonts w:ascii="Times New Roman" w:hAnsi="Times New Roman" w:cs="Times New Roman"/>
        </w:rPr>
        <w:t xml:space="preserve"> property.</w:t>
      </w:r>
    </w:p>
    <w:p w14:paraId="1BD6EEA4" w14:textId="454530E2" w:rsidR="008E025B" w:rsidRDefault="008E025B" w:rsidP="008E025B">
      <w:pPr>
        <w:pStyle w:val="ListParagraph"/>
        <w:numPr>
          <w:ilvl w:val="1"/>
          <w:numId w:val="8"/>
        </w:numPr>
        <w:jc w:val="both"/>
        <w:rPr>
          <w:rFonts w:ascii="Times New Roman" w:hAnsi="Times New Roman" w:cs="Times New Roman"/>
        </w:rPr>
      </w:pPr>
      <w:r w:rsidRPr="008E025B">
        <w:rPr>
          <w:rFonts w:ascii="Times New Roman" w:hAnsi="Times New Roman" w:cs="Times New Roman"/>
        </w:rPr>
        <w:t xml:space="preserve">Removal of sidewalk ramps and replacement of continuous and level </w:t>
      </w:r>
      <w:r w:rsidR="008D1025" w:rsidRPr="008E025B">
        <w:rPr>
          <w:rFonts w:ascii="Times New Roman" w:hAnsi="Times New Roman" w:cs="Times New Roman"/>
        </w:rPr>
        <w:t xml:space="preserve">sidewalk </w:t>
      </w:r>
      <w:r w:rsidR="008D1025">
        <w:rPr>
          <w:rFonts w:ascii="Times New Roman" w:hAnsi="Times New Roman" w:cs="Times New Roman"/>
        </w:rPr>
        <w:t>through</w:t>
      </w:r>
      <w:r w:rsidRPr="008E025B">
        <w:rPr>
          <w:rFonts w:ascii="Times New Roman" w:hAnsi="Times New Roman" w:cs="Times New Roman"/>
        </w:rPr>
        <w:t xml:space="preserve"> all three proposed </w:t>
      </w:r>
      <w:proofErr w:type="spellStart"/>
      <w:r w:rsidRPr="008E025B">
        <w:rPr>
          <w:rFonts w:ascii="Times New Roman" w:hAnsi="Times New Roman" w:cs="Times New Roman"/>
        </w:rPr>
        <w:t>curbcuts</w:t>
      </w:r>
      <w:proofErr w:type="spellEnd"/>
      <w:r w:rsidRPr="008E025B">
        <w:rPr>
          <w:rFonts w:ascii="Times New Roman" w:hAnsi="Times New Roman" w:cs="Times New Roman"/>
        </w:rPr>
        <w:t xml:space="preserve">/driveways to prioritize </w:t>
      </w:r>
      <w:proofErr w:type="gramStart"/>
      <w:r w:rsidRPr="008E025B">
        <w:rPr>
          <w:rFonts w:ascii="Times New Roman" w:hAnsi="Times New Roman" w:cs="Times New Roman"/>
        </w:rPr>
        <w:t xml:space="preserve">pedestrian </w:t>
      </w:r>
      <w:r>
        <w:rPr>
          <w:rFonts w:ascii="Times New Roman" w:hAnsi="Times New Roman" w:cs="Times New Roman"/>
        </w:rPr>
        <w:t xml:space="preserve"> </w:t>
      </w:r>
      <w:r w:rsidRPr="008E025B">
        <w:rPr>
          <w:rFonts w:ascii="Times New Roman" w:hAnsi="Times New Roman" w:cs="Times New Roman"/>
        </w:rPr>
        <w:t>movements</w:t>
      </w:r>
      <w:proofErr w:type="gramEnd"/>
      <w:r w:rsidRPr="008E025B">
        <w:rPr>
          <w:rFonts w:ascii="Times New Roman" w:hAnsi="Times New Roman" w:cs="Times New Roman"/>
        </w:rPr>
        <w:t>.</w:t>
      </w:r>
    </w:p>
    <w:p w14:paraId="7038C6F8" w14:textId="35989914" w:rsidR="008E025B" w:rsidRPr="008E025B" w:rsidRDefault="008E025B" w:rsidP="008E025B">
      <w:pPr>
        <w:pStyle w:val="ListParagraph"/>
        <w:numPr>
          <w:ilvl w:val="1"/>
          <w:numId w:val="8"/>
        </w:numPr>
        <w:jc w:val="both"/>
        <w:rPr>
          <w:rFonts w:ascii="Times New Roman" w:hAnsi="Times New Roman" w:cs="Times New Roman"/>
        </w:rPr>
      </w:pPr>
      <w:r w:rsidRPr="008E025B">
        <w:rPr>
          <w:rFonts w:ascii="Times New Roman" w:hAnsi="Times New Roman" w:cs="Times New Roman"/>
        </w:rPr>
        <w:t>Pedestrian crossing on the south leg of the intersection of Le Jeune Road at Valencia. Final approval and installation will be subject to Miami-Dade County and Florida Department of Transportation (FDOT).</w:t>
      </w:r>
    </w:p>
    <w:p w14:paraId="73E5E47B" w14:textId="30974A9F" w:rsidR="00624FB1" w:rsidRDefault="00624FB1" w:rsidP="00624FB1">
      <w:pPr>
        <w:pStyle w:val="ListParagraph"/>
        <w:numPr>
          <w:ilvl w:val="0"/>
          <w:numId w:val="3"/>
        </w:numPr>
        <w:jc w:val="both"/>
        <w:rPr>
          <w:rFonts w:ascii="Times New Roman" w:hAnsi="Times New Roman" w:cs="Times New Roman"/>
        </w:rPr>
      </w:pPr>
      <w:r w:rsidRPr="00120D60">
        <w:rPr>
          <w:rFonts w:ascii="Times New Roman" w:hAnsi="Times New Roman" w:cs="Times New Roman"/>
          <w:color w:val="000000" w:themeColor="text1"/>
        </w:rPr>
        <w:t xml:space="preserve">Reduction of travel lanes on Valencia, dedicated northbound left turn lane on </w:t>
      </w:r>
      <w:proofErr w:type="spellStart"/>
      <w:r w:rsidRPr="00120D60">
        <w:rPr>
          <w:rFonts w:ascii="Times New Roman" w:hAnsi="Times New Roman" w:cs="Times New Roman"/>
          <w:color w:val="000000" w:themeColor="text1"/>
        </w:rPr>
        <w:t>Salzedo</w:t>
      </w:r>
      <w:proofErr w:type="spellEnd"/>
      <w:r w:rsidRPr="00120D60">
        <w:rPr>
          <w:rFonts w:ascii="Times New Roman" w:hAnsi="Times New Roman" w:cs="Times New Roman"/>
          <w:color w:val="000000" w:themeColor="text1"/>
        </w:rPr>
        <w:t xml:space="preserve"> at Valencia, and</w:t>
      </w:r>
      <w:r w:rsidRPr="000F4B54">
        <w:rPr>
          <w:rFonts w:ascii="Times New Roman" w:hAnsi="Times New Roman" w:cs="Times New Roman"/>
          <w:color w:val="FF0000"/>
        </w:rPr>
        <w:t xml:space="preserve"> </w:t>
      </w:r>
      <w:r w:rsidRPr="00624FB1">
        <w:rPr>
          <w:rFonts w:ascii="Times New Roman" w:hAnsi="Times New Roman" w:cs="Times New Roman"/>
        </w:rPr>
        <w:t xml:space="preserve">“Do Not Block the Box” markings on Le Jeune Road at Valencia and Andalusia intersections, </w:t>
      </w:r>
      <w:r w:rsidRPr="00120D60">
        <w:rPr>
          <w:rFonts w:ascii="Times New Roman" w:hAnsi="Times New Roman" w:cs="Times New Roman"/>
          <w:color w:val="000000" w:themeColor="text1"/>
        </w:rPr>
        <w:t>all</w:t>
      </w:r>
      <w:r w:rsidRPr="000F4B54">
        <w:rPr>
          <w:rFonts w:ascii="Times New Roman" w:hAnsi="Times New Roman" w:cs="Times New Roman"/>
          <w:color w:val="FF0000"/>
        </w:rPr>
        <w:t xml:space="preserve"> </w:t>
      </w:r>
      <w:r w:rsidRPr="00624FB1">
        <w:rPr>
          <w:rFonts w:ascii="Times New Roman" w:hAnsi="Times New Roman" w:cs="Times New Roman"/>
        </w:rPr>
        <w:t xml:space="preserve">subject to City, Miami-Dade County, and Florida Department of Transportation (FDOT) review and approvals. </w:t>
      </w:r>
    </w:p>
    <w:p w14:paraId="27570196" w14:textId="56129A44" w:rsidR="008E025B" w:rsidRDefault="008E025B" w:rsidP="008E025B">
      <w:pPr>
        <w:pStyle w:val="ListParagraph"/>
        <w:numPr>
          <w:ilvl w:val="0"/>
          <w:numId w:val="8"/>
        </w:numPr>
        <w:jc w:val="both"/>
        <w:rPr>
          <w:rFonts w:ascii="Times New Roman" w:hAnsi="Times New Roman" w:cs="Times New Roman"/>
        </w:rPr>
      </w:pPr>
      <w:r w:rsidRPr="008E025B">
        <w:rPr>
          <w:rFonts w:ascii="Times New Roman" w:hAnsi="Times New Roman" w:cs="Times New Roman"/>
        </w:rPr>
        <w:t>All representations proffered by the Applicant’s representatives as a part of the review of the Application at public hearings.</w:t>
      </w:r>
    </w:p>
    <w:p w14:paraId="17CA09D2" w14:textId="364F19CE" w:rsidR="008E025B" w:rsidRDefault="008E025B" w:rsidP="008E025B">
      <w:pPr>
        <w:pStyle w:val="ListParagraph"/>
        <w:numPr>
          <w:ilvl w:val="0"/>
          <w:numId w:val="14"/>
        </w:numPr>
        <w:jc w:val="both"/>
        <w:rPr>
          <w:rFonts w:ascii="Times New Roman" w:hAnsi="Times New Roman" w:cs="Times New Roman"/>
        </w:rPr>
      </w:pPr>
      <w:r w:rsidRPr="008E025B">
        <w:rPr>
          <w:rFonts w:ascii="Times New Roman" w:hAnsi="Times New Roman" w:cs="Times New Roman"/>
          <w:b/>
          <w:bCs/>
        </w:rPr>
        <w:t>Restrictive covenant.</w:t>
      </w:r>
      <w:r w:rsidRPr="008E025B">
        <w:rPr>
          <w:rFonts w:ascii="Times New Roman" w:hAnsi="Times New Roman" w:cs="Times New Roman"/>
        </w:rPr>
        <w:t xml:space="preserve"> Within thirty (30) days of City Commission approval of the</w:t>
      </w:r>
      <w:r>
        <w:rPr>
          <w:rFonts w:ascii="Times New Roman" w:hAnsi="Times New Roman" w:cs="Times New Roman"/>
        </w:rPr>
        <w:t xml:space="preserve"> </w:t>
      </w:r>
      <w:r w:rsidRPr="008E025B">
        <w:rPr>
          <w:rFonts w:ascii="Times New Roman" w:hAnsi="Times New Roman" w:cs="Times New Roman"/>
        </w:rPr>
        <w:t xml:space="preserve">Application, the Applicant, property owner(s), its successors or assigns shall submit a restrictive covenant for City Attorney review and approval outlining all conditions of approval as approved by the City Commission. Failure to submit the draft restrictive covenant within the specified time frame shall render the approval void unless said time frame for submittal of the draft restrictive </w:t>
      </w:r>
      <w:r w:rsidRPr="008E025B">
        <w:rPr>
          <w:rFonts w:ascii="Times New Roman" w:hAnsi="Times New Roman" w:cs="Times New Roman"/>
        </w:rPr>
        <w:lastRenderedPageBreak/>
        <w:t xml:space="preserve">covenant is extended by the City Attorney after good cause as to why the time </w:t>
      </w:r>
      <w:r>
        <w:rPr>
          <w:rFonts w:ascii="Times New Roman" w:hAnsi="Times New Roman" w:cs="Times New Roman"/>
        </w:rPr>
        <w:t>f</w:t>
      </w:r>
      <w:r w:rsidRPr="008E025B">
        <w:rPr>
          <w:rFonts w:ascii="Times New Roman" w:hAnsi="Times New Roman" w:cs="Times New Roman"/>
        </w:rPr>
        <w:t xml:space="preserve">rame should be extended. It is recognized that the requirements contained in the </w:t>
      </w:r>
      <w:proofErr w:type="gramStart"/>
      <w:r w:rsidRPr="008E025B">
        <w:rPr>
          <w:rFonts w:ascii="Times New Roman" w:hAnsi="Times New Roman" w:cs="Times New Roman"/>
        </w:rPr>
        <w:t xml:space="preserve">restrictive </w:t>
      </w:r>
      <w:r>
        <w:rPr>
          <w:rFonts w:ascii="Times New Roman" w:hAnsi="Times New Roman" w:cs="Times New Roman"/>
        </w:rPr>
        <w:t xml:space="preserve"> </w:t>
      </w:r>
      <w:r w:rsidRPr="008E025B">
        <w:rPr>
          <w:rFonts w:ascii="Times New Roman" w:hAnsi="Times New Roman" w:cs="Times New Roman"/>
        </w:rPr>
        <w:t>covenant</w:t>
      </w:r>
      <w:proofErr w:type="gramEnd"/>
      <w:r w:rsidRPr="008E025B">
        <w:rPr>
          <w:rFonts w:ascii="Times New Roman" w:hAnsi="Times New Roman" w:cs="Times New Roman"/>
        </w:rPr>
        <w:t xml:space="preserve"> constitute regulatory conditions of approval and shall survive as regulatory conditions of approval even if the restrictive covenant is later found to be void or unenforceable.</w:t>
      </w:r>
    </w:p>
    <w:p w14:paraId="25BD707B" w14:textId="4EB47E65" w:rsidR="008E025B" w:rsidRDefault="008E025B" w:rsidP="008E025B">
      <w:pPr>
        <w:pStyle w:val="ListParagraph"/>
        <w:numPr>
          <w:ilvl w:val="0"/>
          <w:numId w:val="14"/>
        </w:numPr>
        <w:jc w:val="both"/>
        <w:rPr>
          <w:rFonts w:ascii="Times New Roman" w:hAnsi="Times New Roman" w:cs="Times New Roman"/>
          <w:b/>
          <w:bCs/>
        </w:rPr>
      </w:pPr>
      <w:r w:rsidRPr="008E025B">
        <w:rPr>
          <w:rFonts w:ascii="Times New Roman" w:hAnsi="Times New Roman" w:cs="Times New Roman"/>
          <w:b/>
          <w:bCs/>
        </w:rPr>
        <w:t>Prior to issuance of the first Building Permit:</w:t>
      </w:r>
    </w:p>
    <w:p w14:paraId="2C1A19F0" w14:textId="143B08DF"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 xml:space="preserve">Impact Fees. </w:t>
      </w:r>
      <w:r w:rsidRPr="008E025B">
        <w:rPr>
          <w:rFonts w:ascii="Times New Roman" w:hAnsi="Times New Roman" w:cs="Times New Roman"/>
        </w:rPr>
        <w:t>The Applicant shall include the payment of all applicable City of Coral</w:t>
      </w:r>
      <w:r>
        <w:rPr>
          <w:rFonts w:ascii="Times New Roman" w:hAnsi="Times New Roman" w:cs="Times New Roman"/>
        </w:rPr>
        <w:t xml:space="preserve"> </w:t>
      </w:r>
      <w:r w:rsidRPr="008E025B">
        <w:rPr>
          <w:rFonts w:ascii="Times New Roman" w:hAnsi="Times New Roman" w:cs="Times New Roman"/>
        </w:rPr>
        <w:t>Gables impact fees, sewer capacity fees and service charges prior to the issuance of a building permit. No impact fee shall be waived.</w:t>
      </w:r>
    </w:p>
    <w:p w14:paraId="4619B0DF" w14:textId="77777777"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Art in Public Places.</w:t>
      </w:r>
      <w:r>
        <w:rPr>
          <w:rFonts w:ascii="Times New Roman" w:hAnsi="Times New Roman" w:cs="Times New Roman"/>
          <w:b/>
          <w:bCs/>
        </w:rPr>
        <w:t xml:space="preserve"> </w:t>
      </w:r>
      <w:r w:rsidRPr="008E025B">
        <w:rPr>
          <w:rFonts w:ascii="Times New Roman" w:hAnsi="Times New Roman" w:cs="Times New Roman"/>
        </w:rPr>
        <w:t xml:space="preserve">The Applicant shall provide a complete and notarized copy of </w:t>
      </w:r>
      <w:r>
        <w:rPr>
          <w:rFonts w:ascii="Times New Roman" w:hAnsi="Times New Roman" w:cs="Times New Roman"/>
        </w:rPr>
        <w:t>the</w:t>
      </w:r>
      <w:r w:rsidRPr="008E025B">
        <w:rPr>
          <w:rFonts w:ascii="Times New Roman" w:hAnsi="Times New Roman" w:cs="Times New Roman"/>
        </w:rPr>
        <w:t xml:space="preserve"> Project Value Application to the City. Prior to the issuance of the first Building </w:t>
      </w:r>
      <w:r>
        <w:rPr>
          <w:rFonts w:ascii="Times New Roman" w:hAnsi="Times New Roman" w:cs="Times New Roman"/>
        </w:rPr>
        <w:t>Permit</w:t>
      </w:r>
      <w:r w:rsidRPr="008E025B">
        <w:rPr>
          <w:rFonts w:ascii="Times New Roman" w:hAnsi="Times New Roman" w:cs="Times New Roman"/>
        </w:rPr>
        <w:t xml:space="preserve">, </w:t>
      </w:r>
      <w:proofErr w:type="gramStart"/>
      <w:r w:rsidRPr="008E025B">
        <w:rPr>
          <w:rFonts w:ascii="Times New Roman" w:hAnsi="Times New Roman" w:cs="Times New Roman"/>
        </w:rPr>
        <w:t>applicant</w:t>
      </w:r>
      <w:proofErr w:type="gramEnd"/>
      <w:r w:rsidRPr="008E025B">
        <w:rPr>
          <w:rFonts w:ascii="Times New Roman" w:hAnsi="Times New Roman" w:cs="Times New Roman"/>
        </w:rPr>
        <w:t xml:space="preserve"> must make the required contribution to the appropriate Art in </w:t>
      </w:r>
      <w:proofErr w:type="gramStart"/>
      <w:r w:rsidRPr="008E025B">
        <w:rPr>
          <w:rFonts w:ascii="Times New Roman" w:hAnsi="Times New Roman" w:cs="Times New Roman"/>
        </w:rPr>
        <w:t xml:space="preserve">Public </w:t>
      </w:r>
      <w:r>
        <w:rPr>
          <w:rFonts w:ascii="Times New Roman" w:hAnsi="Times New Roman" w:cs="Times New Roman"/>
        </w:rPr>
        <w:t xml:space="preserve"> </w:t>
      </w:r>
      <w:r w:rsidRPr="008E025B">
        <w:rPr>
          <w:rFonts w:ascii="Times New Roman" w:hAnsi="Times New Roman" w:cs="Times New Roman"/>
        </w:rPr>
        <w:t>Places</w:t>
      </w:r>
      <w:proofErr w:type="gramEnd"/>
      <w:r w:rsidRPr="008E025B">
        <w:rPr>
          <w:rFonts w:ascii="Times New Roman" w:hAnsi="Times New Roman" w:cs="Times New Roman"/>
        </w:rPr>
        <w:t xml:space="preserve"> fund or receive approval for a waiver in accordance with the requirements of </w:t>
      </w:r>
      <w:r>
        <w:rPr>
          <w:rFonts w:ascii="Times New Roman" w:hAnsi="Times New Roman" w:cs="Times New Roman"/>
        </w:rPr>
        <w:t xml:space="preserve"> </w:t>
      </w:r>
      <w:r w:rsidRPr="008E025B">
        <w:rPr>
          <w:rFonts w:ascii="Times New Roman" w:hAnsi="Times New Roman" w:cs="Times New Roman"/>
        </w:rPr>
        <w:t>Article 9-103(B).</w:t>
      </w:r>
    </w:p>
    <w:p w14:paraId="2B518FEB" w14:textId="394A04C3" w:rsidR="008E025B" w:rsidRPr="008E025B" w:rsidRDefault="00601789"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Ground Floor Design.</w:t>
      </w:r>
      <w:r w:rsidRPr="008E025B">
        <w:rPr>
          <w:rFonts w:ascii="Times New Roman" w:hAnsi="Times New Roman" w:cs="Times New Roman"/>
        </w:rPr>
        <w:t xml:space="preserve"> The ground floor of all sides of all buildings, including the loading and service areas shall continue to be designed to optimize pedestrian activity and access. </w:t>
      </w:r>
    </w:p>
    <w:p w14:paraId="6C750B46" w14:textId="75096A46"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Encroachment Agreement and Covenant</w:t>
      </w:r>
      <w:r>
        <w:rPr>
          <w:rFonts w:ascii="Times New Roman" w:hAnsi="Times New Roman" w:cs="Times New Roman"/>
          <w:b/>
          <w:bCs/>
        </w:rPr>
        <w:t xml:space="preserve">. </w:t>
      </w:r>
      <w:r w:rsidRPr="008E025B">
        <w:rPr>
          <w:rFonts w:ascii="Times New Roman" w:hAnsi="Times New Roman" w:cs="Times New Roman"/>
        </w:rPr>
        <w:t xml:space="preserve">All encroachments illustrated in the </w:t>
      </w:r>
      <w:r>
        <w:rPr>
          <w:rFonts w:ascii="Times New Roman" w:hAnsi="Times New Roman" w:cs="Times New Roman"/>
        </w:rPr>
        <w:t xml:space="preserve"> </w:t>
      </w:r>
      <w:r w:rsidRPr="008E025B">
        <w:rPr>
          <w:rFonts w:ascii="Times New Roman" w:hAnsi="Times New Roman" w:cs="Times New Roman"/>
        </w:rPr>
        <w:t xml:space="preserve">Applicant’s submittal package, including special treatment sidewalks, landscaping, </w:t>
      </w:r>
      <w:r>
        <w:rPr>
          <w:rFonts w:ascii="Times New Roman" w:hAnsi="Times New Roman" w:cs="Times New Roman"/>
        </w:rPr>
        <w:t xml:space="preserve"> </w:t>
      </w:r>
      <w:r w:rsidRPr="008E025B">
        <w:rPr>
          <w:rFonts w:ascii="Times New Roman" w:hAnsi="Times New Roman" w:cs="Times New Roman"/>
        </w:rPr>
        <w:t>irrigation, street lighting, landscaping lighting and any other encroachments into, onto, under and over the right of way as shown in the site plan, are approved by the City</w:t>
      </w:r>
      <w:r w:rsidRPr="008E025B">
        <w:t xml:space="preserve"> </w:t>
      </w:r>
      <w:r w:rsidRPr="008E025B">
        <w:rPr>
          <w:rFonts w:ascii="Times New Roman" w:hAnsi="Times New Roman" w:cs="Times New Roman"/>
        </w:rPr>
        <w:t xml:space="preserve">Commission in the Site Plan approval and a Hold Harmless agreement must be </w:t>
      </w:r>
      <w:r>
        <w:rPr>
          <w:rFonts w:ascii="Times New Roman" w:hAnsi="Times New Roman" w:cs="Times New Roman"/>
        </w:rPr>
        <w:t xml:space="preserve"> </w:t>
      </w:r>
      <w:r w:rsidRPr="008E025B">
        <w:rPr>
          <w:rFonts w:ascii="Times New Roman" w:hAnsi="Times New Roman" w:cs="Times New Roman"/>
        </w:rPr>
        <w:t xml:space="preserve">executed approving the encroachments. Execute and record a restrictive covenant </w:t>
      </w:r>
      <w:r>
        <w:rPr>
          <w:rFonts w:ascii="Times New Roman" w:hAnsi="Times New Roman" w:cs="Times New Roman"/>
        </w:rPr>
        <w:t>regarding</w:t>
      </w:r>
      <w:r w:rsidRPr="008E025B">
        <w:rPr>
          <w:rFonts w:ascii="Times New Roman" w:hAnsi="Times New Roman" w:cs="Times New Roman"/>
        </w:rPr>
        <w:t xml:space="preserve"> encroachments and utilities in, below and above the public rights-of-way, in a form acceptable to the Public Works Director, the Risk Management Division, and </w:t>
      </w:r>
      <w:proofErr w:type="gramStart"/>
      <w:r w:rsidRPr="008E025B">
        <w:rPr>
          <w:rFonts w:ascii="Times New Roman" w:hAnsi="Times New Roman" w:cs="Times New Roman"/>
        </w:rPr>
        <w:t xml:space="preserve">the </w:t>
      </w:r>
      <w:r>
        <w:rPr>
          <w:rFonts w:ascii="Times New Roman" w:hAnsi="Times New Roman" w:cs="Times New Roman"/>
        </w:rPr>
        <w:t xml:space="preserve"> </w:t>
      </w:r>
      <w:r w:rsidRPr="008E025B">
        <w:rPr>
          <w:rFonts w:ascii="Times New Roman" w:hAnsi="Times New Roman" w:cs="Times New Roman"/>
        </w:rPr>
        <w:t>City</w:t>
      </w:r>
      <w:proofErr w:type="gramEnd"/>
      <w:r w:rsidRPr="008E025B">
        <w:rPr>
          <w:rFonts w:ascii="Times New Roman" w:hAnsi="Times New Roman" w:cs="Times New Roman"/>
        </w:rPr>
        <w:t xml:space="preserve"> Attorney, which shall include the precise locations and dimensions of the proposed areas of all encroachments. It is recognized that the requirements contained in the restrictive covenant constitute regulatory conditions of approval and shall survive as regulatory conditions of approval even if the restrictive covenant is later found to be void or unenforceable</w:t>
      </w:r>
    </w:p>
    <w:p w14:paraId="5B5ACD2F" w14:textId="3FAEF8A0"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Bond to Restore Project Property</w:t>
      </w:r>
      <w:r w:rsidRPr="008E025B">
        <w:rPr>
          <w:rFonts w:ascii="Times New Roman" w:hAnsi="Times New Roman" w:cs="Times New Roman"/>
        </w:rPr>
        <w:t xml:space="preserve">. </w:t>
      </w:r>
      <w:proofErr w:type="gramStart"/>
      <w:r w:rsidRPr="008E025B">
        <w:rPr>
          <w:rFonts w:ascii="Times New Roman" w:hAnsi="Times New Roman" w:cs="Times New Roman"/>
        </w:rPr>
        <w:t>Provide to</w:t>
      </w:r>
      <w:proofErr w:type="gramEnd"/>
      <w:r w:rsidRPr="008E025B">
        <w:rPr>
          <w:rFonts w:ascii="Times New Roman" w:hAnsi="Times New Roman" w:cs="Times New Roman"/>
        </w:rPr>
        <w:t xml:space="preserve"> the City a surety bond, or other form of security deemed acceptable by the City, covering the estimated maximum cost of the full restoration of the Property, including installation of sod and landscaping to City Code standards, and removal of all construction fencing</w:t>
      </w:r>
      <w:r>
        <w:rPr>
          <w:rFonts w:ascii="Times New Roman" w:hAnsi="Times New Roman" w:cs="Times New Roman"/>
        </w:rPr>
        <w:t>.</w:t>
      </w:r>
    </w:p>
    <w:p w14:paraId="2254EBD0" w14:textId="6641BF01"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Bond for Offsite Improvements.</w:t>
      </w:r>
      <w:r w:rsidRPr="008E025B">
        <w:rPr>
          <w:rFonts w:ascii="Times New Roman" w:hAnsi="Times New Roman" w:cs="Times New Roman"/>
        </w:rPr>
        <w:t xml:space="preserve"> Provide to the City a surety bond, or other form of security deemed acceptable by the </w:t>
      </w:r>
      <w:proofErr w:type="gramStart"/>
      <w:r w:rsidRPr="008E025B">
        <w:rPr>
          <w:rFonts w:ascii="Times New Roman" w:hAnsi="Times New Roman" w:cs="Times New Roman"/>
        </w:rPr>
        <w:t>City</w:t>
      </w:r>
      <w:proofErr w:type="gramEnd"/>
      <w:r w:rsidRPr="008E025B">
        <w:rPr>
          <w:rFonts w:ascii="Times New Roman" w:hAnsi="Times New Roman" w:cs="Times New Roman"/>
        </w:rPr>
        <w:t>, in the amount of 100% of the estimated total hard and soft cost of all Offsite Improvements</w:t>
      </w:r>
      <w:r w:rsidR="00EA7F4B">
        <w:rPr>
          <w:rFonts w:ascii="Times New Roman" w:hAnsi="Times New Roman" w:cs="Times New Roman"/>
        </w:rPr>
        <w:t xml:space="preserve"> that have been approved by all applicable agencies at the time master permit is otherwise ready for issuance</w:t>
      </w:r>
      <w:r w:rsidRPr="008E025B">
        <w:rPr>
          <w:rFonts w:ascii="Times New Roman" w:hAnsi="Times New Roman" w:cs="Times New Roman"/>
        </w:rPr>
        <w:t xml:space="preserve"> as determined by the Public Works Director.</w:t>
      </w:r>
    </w:p>
    <w:p w14:paraId="08E593A6" w14:textId="774CC00E"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Construction Notices.</w:t>
      </w:r>
      <w:r w:rsidRPr="008E025B">
        <w:rPr>
          <w:rFonts w:ascii="Times New Roman" w:hAnsi="Times New Roman" w:cs="Times New Roman"/>
        </w:rPr>
        <w:t xml:space="preserve"> Provide written notice to all properties within one thousand (1,000) feet of the project boundaries providing a specific liaison/contact person for the </w:t>
      </w:r>
      <w:r w:rsidRPr="008E025B">
        <w:rPr>
          <w:rFonts w:ascii="Times New Roman" w:hAnsi="Times New Roman" w:cs="Times New Roman"/>
        </w:rPr>
        <w:lastRenderedPageBreak/>
        <w:t xml:space="preserve">project including the </w:t>
      </w:r>
      <w:proofErr w:type="gramStart"/>
      <w:r w:rsidRPr="008E025B">
        <w:rPr>
          <w:rFonts w:ascii="Times New Roman" w:hAnsi="Times New Roman" w:cs="Times New Roman"/>
        </w:rPr>
        <w:t>contact</w:t>
      </w:r>
      <w:proofErr w:type="gramEnd"/>
      <w:r w:rsidRPr="008E025B">
        <w:rPr>
          <w:rFonts w:ascii="Times New Roman" w:hAnsi="Times New Roman" w:cs="Times New Roman"/>
        </w:rPr>
        <w:t xml:space="preserve"> name, contact telephone number and email, to allow communication between adjacent neighbors or interested parties of construction activities, project status, potential concerns, etc.</w:t>
      </w:r>
    </w:p>
    <w:p w14:paraId="6E7CEBC4" w14:textId="026FB9F0"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Construction staging.</w:t>
      </w:r>
      <w:r w:rsidRPr="008E025B">
        <w:rPr>
          <w:rFonts w:ascii="Times New Roman" w:hAnsi="Times New Roman" w:cs="Times New Roman"/>
        </w:rPr>
        <w:t xml:space="preserve"> Submit a construction staging plan to the Building Division. A checklist of requirements shall be provided upon request. Construction phasing/staging shall maintain pedestrian access and circulation along Le Jeune Rd, Valencia Avenue, Andalusia Avenue, and </w:t>
      </w:r>
      <w:proofErr w:type="spellStart"/>
      <w:r w:rsidRPr="008E025B">
        <w:rPr>
          <w:rFonts w:ascii="Times New Roman" w:hAnsi="Times New Roman" w:cs="Times New Roman"/>
        </w:rPr>
        <w:t>Salzedo</w:t>
      </w:r>
      <w:proofErr w:type="spellEnd"/>
      <w:r w:rsidRPr="008E025B">
        <w:rPr>
          <w:rFonts w:ascii="Times New Roman" w:hAnsi="Times New Roman" w:cs="Times New Roman"/>
        </w:rPr>
        <w:t xml:space="preserve"> Street. No equipment, outriggers, tracks, tires, RTU or vehicles permitted within the City’s ROW/sidewalk area at any time.</w:t>
      </w:r>
    </w:p>
    <w:p w14:paraId="41DAE78D" w14:textId="2F43F647"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Loss of On-street parking.</w:t>
      </w:r>
      <w:r w:rsidRPr="008E025B">
        <w:rPr>
          <w:rFonts w:ascii="Times New Roman" w:hAnsi="Times New Roman" w:cs="Times New Roman"/>
        </w:rPr>
        <w:t xml:space="preserve"> Payment shall be provided by Applicant, its successors or assigns according to established City requirements for the loss of on-street parking spaces on Valencia </w:t>
      </w:r>
      <w:proofErr w:type="gramStart"/>
      <w:r w:rsidRPr="008E025B">
        <w:rPr>
          <w:rFonts w:ascii="Times New Roman" w:hAnsi="Times New Roman" w:cs="Times New Roman"/>
        </w:rPr>
        <w:t>as a result of</w:t>
      </w:r>
      <w:proofErr w:type="gramEnd"/>
      <w:r w:rsidRPr="008E025B">
        <w:rPr>
          <w:rFonts w:ascii="Times New Roman" w:hAnsi="Times New Roman" w:cs="Times New Roman"/>
        </w:rPr>
        <w:t xml:space="preserve"> the project. Payment for loss of on-street parking </w:t>
      </w:r>
      <w:proofErr w:type="gramStart"/>
      <w:r w:rsidRPr="008E025B">
        <w:rPr>
          <w:rFonts w:ascii="Times New Roman" w:hAnsi="Times New Roman" w:cs="Times New Roman"/>
        </w:rPr>
        <w:t>as a result of</w:t>
      </w:r>
      <w:proofErr w:type="gramEnd"/>
      <w:r w:rsidRPr="008E025B">
        <w:rPr>
          <w:rFonts w:ascii="Times New Roman" w:hAnsi="Times New Roman" w:cs="Times New Roman"/>
        </w:rPr>
        <w:t xml:space="preserve"> the proposed cycle tracks on Andalusia and </w:t>
      </w:r>
      <w:proofErr w:type="spellStart"/>
      <w:r w:rsidRPr="008E025B">
        <w:rPr>
          <w:rFonts w:ascii="Times New Roman" w:hAnsi="Times New Roman" w:cs="Times New Roman"/>
        </w:rPr>
        <w:t>Salzedo</w:t>
      </w:r>
      <w:proofErr w:type="spellEnd"/>
      <w:r w:rsidRPr="008E025B">
        <w:rPr>
          <w:rFonts w:ascii="Times New Roman" w:hAnsi="Times New Roman" w:cs="Times New Roman"/>
        </w:rPr>
        <w:t xml:space="preserve"> will not be required.</w:t>
      </w:r>
    </w:p>
    <w:p w14:paraId="19451ACD" w14:textId="017FAF57" w:rsidR="0049181D" w:rsidRPr="00320A7C" w:rsidRDefault="0072740C" w:rsidP="008E025B">
      <w:pPr>
        <w:pStyle w:val="ListParagraph"/>
        <w:numPr>
          <w:ilvl w:val="1"/>
          <w:numId w:val="14"/>
        </w:numPr>
        <w:jc w:val="both"/>
        <w:rPr>
          <w:rFonts w:ascii="Times New Roman" w:hAnsi="Times New Roman" w:cs="Times New Roman"/>
          <w:b/>
          <w:bCs/>
        </w:rPr>
      </w:pPr>
      <w:r w:rsidRPr="00320A7C">
        <w:rPr>
          <w:rFonts w:ascii="Times New Roman" w:hAnsi="Times New Roman" w:cs="Times New Roman"/>
          <w:b/>
          <w:bCs/>
        </w:rPr>
        <w:t xml:space="preserve">Underground overhead utilities. </w:t>
      </w:r>
      <w:proofErr w:type="gramStart"/>
      <w:r w:rsidR="00320A7C" w:rsidRPr="00320A7C">
        <w:rPr>
          <w:rFonts w:ascii="Times New Roman" w:hAnsi="Times New Roman" w:cs="Times New Roman"/>
        </w:rPr>
        <w:t>Applicant</w:t>
      </w:r>
      <w:proofErr w:type="gramEnd"/>
      <w:r w:rsidR="00320A7C" w:rsidRPr="00320A7C">
        <w:rPr>
          <w:rFonts w:ascii="Times New Roman" w:hAnsi="Times New Roman" w:cs="Times New Roman"/>
        </w:rPr>
        <w:t xml:space="preserve"> shall provide a plan indicating a location and easements for underground utilities along </w:t>
      </w:r>
      <w:proofErr w:type="spellStart"/>
      <w:r w:rsidR="00320A7C" w:rsidRPr="00320A7C">
        <w:rPr>
          <w:rFonts w:ascii="Times New Roman" w:hAnsi="Times New Roman" w:cs="Times New Roman"/>
        </w:rPr>
        <w:t>Salzedo</w:t>
      </w:r>
      <w:proofErr w:type="spellEnd"/>
      <w:r w:rsidR="00320A7C" w:rsidRPr="00320A7C">
        <w:rPr>
          <w:rFonts w:ascii="Times New Roman" w:hAnsi="Times New Roman" w:cs="Times New Roman"/>
        </w:rPr>
        <w:t xml:space="preserve"> Street from the alley north of Andalusia to the alley south of Valencia and along Andalusia Avenue on the project site. </w:t>
      </w:r>
    </w:p>
    <w:p w14:paraId="66E65857" w14:textId="7FC2C32C" w:rsidR="008E025B" w:rsidRDefault="008E025B" w:rsidP="008E025B">
      <w:pPr>
        <w:pStyle w:val="ListParagraph"/>
        <w:numPr>
          <w:ilvl w:val="0"/>
          <w:numId w:val="14"/>
        </w:numPr>
        <w:jc w:val="both"/>
        <w:rPr>
          <w:rFonts w:ascii="Times New Roman" w:hAnsi="Times New Roman" w:cs="Times New Roman"/>
          <w:b/>
          <w:bCs/>
        </w:rPr>
      </w:pPr>
      <w:r w:rsidRPr="008E025B">
        <w:rPr>
          <w:rFonts w:ascii="Times New Roman" w:hAnsi="Times New Roman" w:cs="Times New Roman"/>
          <w:b/>
          <w:bCs/>
        </w:rPr>
        <w:t>Prior to issuance of the first Temporary Certificate of Occupancy:</w:t>
      </w:r>
    </w:p>
    <w:p w14:paraId="3FF1BAA3" w14:textId="089D1862" w:rsidR="008E025B" w:rsidRPr="008E025B" w:rsidRDefault="008E025B" w:rsidP="008E025B">
      <w:pPr>
        <w:pStyle w:val="ListParagraph"/>
        <w:numPr>
          <w:ilvl w:val="1"/>
          <w:numId w:val="14"/>
        </w:numPr>
        <w:jc w:val="both"/>
        <w:rPr>
          <w:rFonts w:ascii="Times New Roman" w:hAnsi="Times New Roman" w:cs="Times New Roman"/>
          <w:b/>
          <w:bCs/>
        </w:rPr>
      </w:pPr>
      <w:r w:rsidRPr="008E025B">
        <w:rPr>
          <w:rFonts w:ascii="Times New Roman" w:hAnsi="Times New Roman" w:cs="Times New Roman"/>
          <w:b/>
          <w:bCs/>
        </w:rPr>
        <w:t xml:space="preserve">Sustainability Certification. </w:t>
      </w:r>
      <w:r w:rsidRPr="008E025B">
        <w:rPr>
          <w:rFonts w:ascii="Times New Roman" w:hAnsi="Times New Roman" w:cs="Times New Roman"/>
        </w:rPr>
        <w:t>The developer/owner/contractor shall provide the City with a performance bond, cash or irrevocable letter of credit payment (Green Building Bond) in the amount of three (3%) percent of the master building permit construction cost value.</w:t>
      </w:r>
    </w:p>
    <w:p w14:paraId="07D090DD" w14:textId="04B80A4B"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Utility Upgrades.</w:t>
      </w:r>
      <w:r w:rsidRPr="008E025B">
        <w:rPr>
          <w:rFonts w:ascii="Times New Roman" w:hAnsi="Times New Roman" w:cs="Times New Roman"/>
        </w:rPr>
        <w:t xml:space="preserve"> Water and Sewer system upgrades, fees, and all associated right-of</w:t>
      </w:r>
      <w:r>
        <w:rPr>
          <w:rFonts w:ascii="Times New Roman" w:hAnsi="Times New Roman" w:cs="Times New Roman"/>
        </w:rPr>
        <w:t>-</w:t>
      </w:r>
      <w:r w:rsidRPr="008E025B">
        <w:rPr>
          <w:rFonts w:ascii="Times New Roman" w:hAnsi="Times New Roman" w:cs="Times New Roman"/>
        </w:rPr>
        <w:t>way improvements may be required at the Applicant’s expense.</w:t>
      </w:r>
    </w:p>
    <w:p w14:paraId="07741661" w14:textId="4BD48A5B" w:rsidR="008E025B" w:rsidRDefault="008E025B" w:rsidP="008E025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Art in Public Places.</w:t>
      </w:r>
      <w:r w:rsidRPr="008E025B">
        <w:rPr>
          <w:rFonts w:ascii="Times New Roman" w:hAnsi="Times New Roman" w:cs="Times New Roman"/>
        </w:rPr>
        <w:t xml:space="preserve"> The Applicant shall comply with all City requirements for Art in Public Places.</w:t>
      </w:r>
    </w:p>
    <w:p w14:paraId="7E404290" w14:textId="3E364BD1" w:rsidR="008E025B" w:rsidRDefault="008E025B" w:rsidP="008E025B">
      <w:pPr>
        <w:pStyle w:val="ListParagraph"/>
        <w:numPr>
          <w:ilvl w:val="1"/>
          <w:numId w:val="14"/>
        </w:numPr>
        <w:jc w:val="both"/>
        <w:rPr>
          <w:rFonts w:ascii="Times New Roman" w:hAnsi="Times New Roman" w:cs="Times New Roman"/>
          <w:b/>
          <w:bCs/>
        </w:rPr>
      </w:pPr>
      <w:r w:rsidRPr="008E025B">
        <w:rPr>
          <w:rFonts w:ascii="Times New Roman" w:hAnsi="Times New Roman" w:cs="Times New Roman"/>
          <w:b/>
          <w:bCs/>
        </w:rPr>
        <w:t>Public Realm improvements.</w:t>
      </w:r>
    </w:p>
    <w:p w14:paraId="03E4AE25" w14:textId="77777777" w:rsidR="00A65374" w:rsidRDefault="008E025B" w:rsidP="00A65374">
      <w:pPr>
        <w:pStyle w:val="ListParagraph"/>
        <w:numPr>
          <w:ilvl w:val="2"/>
          <w:numId w:val="14"/>
        </w:numPr>
        <w:jc w:val="both"/>
        <w:rPr>
          <w:rFonts w:ascii="Times New Roman" w:hAnsi="Times New Roman" w:cs="Times New Roman"/>
        </w:rPr>
      </w:pPr>
      <w:r w:rsidRPr="008E025B">
        <w:rPr>
          <w:rFonts w:ascii="Times New Roman" w:hAnsi="Times New Roman" w:cs="Times New Roman"/>
          <w:b/>
          <w:bCs/>
        </w:rPr>
        <w:t xml:space="preserve">Public Maintenance. </w:t>
      </w:r>
      <w:r w:rsidRPr="008E025B">
        <w:rPr>
          <w:rFonts w:ascii="Times New Roman" w:hAnsi="Times New Roman" w:cs="Times New Roman"/>
        </w:rPr>
        <w:t>The Applicant or property owner and its successors shall submit a Public Maintenance Agreement for City Attorney review and approval, which provides for the Applicant’s payment of the costs of maintaining all public realm improvements surrounding the building and within the City’s right</w:t>
      </w:r>
      <w:r w:rsidR="0053310E">
        <w:rPr>
          <w:rFonts w:ascii="Times New Roman" w:hAnsi="Times New Roman" w:cs="Times New Roman"/>
        </w:rPr>
        <w:t>-</w:t>
      </w:r>
      <w:r w:rsidRPr="008E025B">
        <w:rPr>
          <w:rFonts w:ascii="Times New Roman" w:hAnsi="Times New Roman" w:cs="Times New Roman"/>
        </w:rPr>
        <w:t>of-way. The agreement shall also state that should the property owner, its successors or assigns fail to meet the terms of the agreement, the City shall complete necessary maintenance and/or access improvements, which costs shall be reimbursed to the City by the property owner. The agreement shall be recorded in the public records for Miami-Dade County, Florida, in the form of a restrictive covenant</w:t>
      </w:r>
      <w:r>
        <w:rPr>
          <w:rFonts w:ascii="Times New Roman" w:hAnsi="Times New Roman" w:cs="Times New Roman"/>
        </w:rPr>
        <w:t>.</w:t>
      </w:r>
    </w:p>
    <w:p w14:paraId="57FC4D06" w14:textId="0095F63A" w:rsidR="00A65374" w:rsidRPr="00A65374" w:rsidRDefault="00A65374" w:rsidP="00A65374">
      <w:pPr>
        <w:pStyle w:val="ListParagraph"/>
        <w:numPr>
          <w:ilvl w:val="2"/>
          <w:numId w:val="14"/>
        </w:numPr>
        <w:jc w:val="both"/>
        <w:rPr>
          <w:rFonts w:ascii="Times New Roman" w:hAnsi="Times New Roman" w:cs="Times New Roman"/>
        </w:rPr>
      </w:pPr>
      <w:r w:rsidRPr="00A65374">
        <w:rPr>
          <w:rFonts w:ascii="Times New Roman" w:hAnsi="Times New Roman" w:cs="Times New Roman"/>
        </w:rPr>
        <w:t xml:space="preserve">The Applicant shall coordinate with </w:t>
      </w:r>
      <w:r>
        <w:rPr>
          <w:rFonts w:ascii="Times New Roman" w:hAnsi="Times New Roman" w:cs="Times New Roman"/>
        </w:rPr>
        <w:t xml:space="preserve">FDOT, </w:t>
      </w:r>
      <w:r w:rsidRPr="00A65374">
        <w:rPr>
          <w:rFonts w:ascii="Times New Roman" w:hAnsi="Times New Roman" w:cs="Times New Roman"/>
        </w:rPr>
        <w:t>Public Works</w:t>
      </w:r>
      <w:r>
        <w:rPr>
          <w:rFonts w:ascii="Times New Roman" w:hAnsi="Times New Roman" w:cs="Times New Roman"/>
        </w:rPr>
        <w:t>, and Miami-Dade County</w:t>
      </w:r>
      <w:r w:rsidRPr="00A65374">
        <w:rPr>
          <w:rFonts w:ascii="Times New Roman" w:hAnsi="Times New Roman" w:cs="Times New Roman"/>
        </w:rPr>
        <w:t xml:space="preserve"> on the final street design of Andalusia Avenue with current visioning project that implements a bike route on Andalusia Avenue between Biltmore Way and the future Mobility Hub, and </w:t>
      </w:r>
      <w:proofErr w:type="spellStart"/>
      <w:r w:rsidRPr="00A65374">
        <w:rPr>
          <w:rFonts w:ascii="Times New Roman" w:hAnsi="Times New Roman" w:cs="Times New Roman"/>
        </w:rPr>
        <w:t>Salzedo</w:t>
      </w:r>
      <w:proofErr w:type="spellEnd"/>
      <w:r w:rsidRPr="00A65374">
        <w:rPr>
          <w:rFonts w:ascii="Times New Roman" w:hAnsi="Times New Roman" w:cs="Times New Roman"/>
        </w:rPr>
        <w:t xml:space="preserve"> cycle track.</w:t>
      </w:r>
    </w:p>
    <w:p w14:paraId="358BFECC" w14:textId="74EF022D" w:rsidR="00320A7C" w:rsidRPr="00E6634D" w:rsidRDefault="00320A7C" w:rsidP="00E6634D">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lastRenderedPageBreak/>
        <w:t>Bond for Offsite Improvements.</w:t>
      </w:r>
      <w:r w:rsidRPr="008E025B">
        <w:rPr>
          <w:rFonts w:ascii="Times New Roman" w:hAnsi="Times New Roman" w:cs="Times New Roman"/>
        </w:rPr>
        <w:t xml:space="preserve"> Provide to the City a surety bond, or other form of security deemed acceptable by the City, in the amount of 100% of the estimated total hard and soft cost of all </w:t>
      </w:r>
      <w:r w:rsidR="00D96B34">
        <w:rPr>
          <w:rFonts w:ascii="Times New Roman" w:hAnsi="Times New Roman" w:cs="Times New Roman"/>
        </w:rPr>
        <w:t>Offsite</w:t>
      </w:r>
      <w:r w:rsidRPr="008E025B">
        <w:rPr>
          <w:rFonts w:ascii="Times New Roman" w:hAnsi="Times New Roman" w:cs="Times New Roman"/>
        </w:rPr>
        <w:t xml:space="preserve"> Improvements</w:t>
      </w:r>
      <w:r>
        <w:rPr>
          <w:rFonts w:ascii="Times New Roman" w:hAnsi="Times New Roman" w:cs="Times New Roman"/>
        </w:rPr>
        <w:t xml:space="preserve"> </w:t>
      </w:r>
      <w:r w:rsidR="00E6634D" w:rsidRPr="00E6634D">
        <w:rPr>
          <w:rFonts w:ascii="Times New Roman" w:hAnsi="Times New Roman" w:cs="Times New Roman"/>
        </w:rPr>
        <w:t>except those Offsite Improvements for which a City-approved application has been rejected by Miami-Dade County or FDOT, as applicable, at the time the Temporary Certificate of Occupancy is otherwise</w:t>
      </w:r>
      <w:r w:rsidR="00E6634D">
        <w:rPr>
          <w:rFonts w:ascii="Times New Roman" w:hAnsi="Times New Roman" w:cs="Times New Roman"/>
        </w:rPr>
        <w:t xml:space="preserve"> </w:t>
      </w:r>
      <w:r w:rsidR="00E6634D" w:rsidRPr="00E6634D">
        <w:rPr>
          <w:rFonts w:ascii="Times New Roman" w:hAnsi="Times New Roman" w:cs="Times New Roman"/>
        </w:rPr>
        <w:t>ready for issuance as determined by the Public Works Director</w:t>
      </w:r>
      <w:r w:rsidRPr="00E6634D">
        <w:rPr>
          <w:rFonts w:ascii="Times New Roman" w:hAnsi="Times New Roman" w:cs="Times New Roman"/>
        </w:rPr>
        <w:t>.</w:t>
      </w:r>
    </w:p>
    <w:p w14:paraId="734A785C" w14:textId="41D701A8" w:rsidR="00EA7F4B" w:rsidRDefault="00EA7F4B" w:rsidP="00EA7F4B">
      <w:pPr>
        <w:pStyle w:val="ListParagraph"/>
        <w:numPr>
          <w:ilvl w:val="0"/>
          <w:numId w:val="14"/>
        </w:numPr>
        <w:jc w:val="both"/>
        <w:rPr>
          <w:rFonts w:ascii="Times New Roman" w:hAnsi="Times New Roman" w:cs="Times New Roman"/>
        </w:rPr>
      </w:pPr>
      <w:r>
        <w:rPr>
          <w:rFonts w:ascii="Times New Roman" w:hAnsi="Times New Roman" w:cs="Times New Roman"/>
          <w:b/>
          <w:bCs/>
        </w:rPr>
        <w:t xml:space="preserve">Prior to issuance of the </w:t>
      </w:r>
      <w:r w:rsidR="005A64ED">
        <w:rPr>
          <w:rFonts w:ascii="Times New Roman" w:hAnsi="Times New Roman" w:cs="Times New Roman"/>
          <w:b/>
          <w:bCs/>
        </w:rPr>
        <w:t xml:space="preserve">final </w:t>
      </w:r>
      <w:r>
        <w:rPr>
          <w:rFonts w:ascii="Times New Roman" w:hAnsi="Times New Roman" w:cs="Times New Roman"/>
          <w:b/>
          <w:bCs/>
        </w:rPr>
        <w:t>Certificate of Occupancy:</w:t>
      </w:r>
    </w:p>
    <w:p w14:paraId="46F4DE43" w14:textId="5F082E10" w:rsidR="0053310E" w:rsidRDefault="0053310E" w:rsidP="0053310E">
      <w:pPr>
        <w:pStyle w:val="ListParagraph"/>
        <w:numPr>
          <w:ilvl w:val="1"/>
          <w:numId w:val="14"/>
        </w:numPr>
        <w:jc w:val="both"/>
        <w:rPr>
          <w:rFonts w:ascii="Times New Roman" w:hAnsi="Times New Roman" w:cs="Times New Roman"/>
        </w:rPr>
      </w:pPr>
      <w:r w:rsidRPr="0053310E">
        <w:rPr>
          <w:rFonts w:ascii="Times New Roman" w:hAnsi="Times New Roman" w:cs="Times New Roman"/>
          <w:b/>
          <w:bCs/>
        </w:rPr>
        <w:t xml:space="preserve">Conveyance of </w:t>
      </w:r>
      <w:proofErr w:type="spellStart"/>
      <w:r w:rsidRPr="0053310E">
        <w:rPr>
          <w:rFonts w:ascii="Times New Roman" w:hAnsi="Times New Roman" w:cs="Times New Roman"/>
          <w:b/>
          <w:bCs/>
        </w:rPr>
        <w:t>Salzedo</w:t>
      </w:r>
      <w:proofErr w:type="spellEnd"/>
      <w:r w:rsidRPr="0053310E">
        <w:rPr>
          <w:rFonts w:ascii="Times New Roman" w:hAnsi="Times New Roman" w:cs="Times New Roman"/>
          <w:b/>
          <w:bCs/>
        </w:rPr>
        <w:t xml:space="preserve"> Park.</w:t>
      </w:r>
      <w:r w:rsidRPr="0053310E">
        <w:rPr>
          <w:rFonts w:ascii="Times New Roman" w:hAnsi="Times New Roman" w:cs="Times New Roman"/>
        </w:rPr>
        <w:t xml:space="preserve"> The Applicant </w:t>
      </w:r>
      <w:r w:rsidR="00120D60">
        <w:rPr>
          <w:rFonts w:ascii="Times New Roman" w:hAnsi="Times New Roman" w:cs="Times New Roman"/>
        </w:rPr>
        <w:t>shall</w:t>
      </w:r>
      <w:r w:rsidRPr="0053310E">
        <w:rPr>
          <w:rFonts w:ascii="Times New Roman" w:hAnsi="Times New Roman" w:cs="Times New Roman"/>
        </w:rPr>
        <w:t xml:space="preserve"> convey the completed 20,000 square foot park on </w:t>
      </w:r>
      <w:proofErr w:type="spellStart"/>
      <w:r w:rsidRPr="0053310E">
        <w:rPr>
          <w:rFonts w:ascii="Times New Roman" w:hAnsi="Times New Roman" w:cs="Times New Roman"/>
        </w:rPr>
        <w:t>Salzedo</w:t>
      </w:r>
      <w:proofErr w:type="spellEnd"/>
      <w:r w:rsidR="00120D60">
        <w:rPr>
          <w:rFonts w:ascii="Times New Roman" w:hAnsi="Times New Roman" w:cs="Times New Roman"/>
        </w:rPr>
        <w:t xml:space="preserve"> Street</w:t>
      </w:r>
      <w:r w:rsidRPr="0053310E">
        <w:rPr>
          <w:rFonts w:ascii="Times New Roman" w:hAnsi="Times New Roman" w:cs="Times New Roman"/>
        </w:rPr>
        <w:t xml:space="preserve"> to the City of Coral Gables in fee simple, subject to a separate agreement to be approved by the City Commission. </w:t>
      </w:r>
      <w:r w:rsidR="00120D60">
        <w:rPr>
          <w:rFonts w:ascii="Times New Roman" w:hAnsi="Times New Roman" w:cs="Times New Roman"/>
        </w:rPr>
        <w:t xml:space="preserve">The separate agreement shall provide for the conveyance to the City of 35,000 square feet of development rights attributable to the parkland which the </w:t>
      </w:r>
      <w:r w:rsidR="00D44CB0">
        <w:rPr>
          <w:rFonts w:ascii="Times New Roman" w:hAnsi="Times New Roman" w:cs="Times New Roman"/>
        </w:rPr>
        <w:t xml:space="preserve">City may transfer to other eligible receiving sites. The proceeds of any sale of these development rights shall be utilized to fund historic preservation projects. </w:t>
      </w:r>
      <w:r w:rsidR="00B369F5">
        <w:rPr>
          <w:rFonts w:ascii="Times New Roman" w:hAnsi="Times New Roman" w:cs="Times New Roman"/>
        </w:rPr>
        <w:t xml:space="preserve">Applicant retains rights to the remaining balance of development rights on the park land which may be </w:t>
      </w:r>
      <w:r w:rsidR="0072740C">
        <w:rPr>
          <w:rFonts w:ascii="Times New Roman" w:hAnsi="Times New Roman" w:cs="Times New Roman"/>
        </w:rPr>
        <w:t>utilized</w:t>
      </w:r>
      <w:r w:rsidR="00B369F5">
        <w:rPr>
          <w:rFonts w:ascii="Times New Roman" w:hAnsi="Times New Roman" w:cs="Times New Roman"/>
        </w:rPr>
        <w:t xml:space="preserve"> as allowed by the Code. </w:t>
      </w:r>
    </w:p>
    <w:p w14:paraId="775C2F58" w14:textId="4EFA0171" w:rsidR="0053310E" w:rsidRDefault="0053310E" w:rsidP="0053310E">
      <w:pPr>
        <w:pStyle w:val="ListParagraph"/>
        <w:numPr>
          <w:ilvl w:val="0"/>
          <w:numId w:val="14"/>
        </w:numPr>
        <w:jc w:val="both"/>
        <w:rPr>
          <w:rFonts w:ascii="Times New Roman" w:hAnsi="Times New Roman" w:cs="Times New Roman"/>
          <w:b/>
          <w:bCs/>
        </w:rPr>
      </w:pPr>
      <w:r w:rsidRPr="0053310E">
        <w:rPr>
          <w:rFonts w:ascii="Times New Roman" w:hAnsi="Times New Roman" w:cs="Times New Roman"/>
          <w:b/>
          <w:bCs/>
        </w:rPr>
        <w:t xml:space="preserve">Following issuance of the </w:t>
      </w:r>
      <w:r w:rsidR="00A65374">
        <w:rPr>
          <w:rFonts w:ascii="Times New Roman" w:hAnsi="Times New Roman" w:cs="Times New Roman"/>
          <w:b/>
          <w:bCs/>
        </w:rPr>
        <w:t>final</w:t>
      </w:r>
      <w:r w:rsidRPr="0053310E">
        <w:rPr>
          <w:rFonts w:ascii="Times New Roman" w:hAnsi="Times New Roman" w:cs="Times New Roman"/>
          <w:b/>
          <w:bCs/>
        </w:rPr>
        <w:t xml:space="preserve"> Certificate of Occupancy:</w:t>
      </w:r>
    </w:p>
    <w:p w14:paraId="69BD650A" w14:textId="6AFB9BBC" w:rsidR="0053310E" w:rsidRPr="0053310E" w:rsidRDefault="0053310E" w:rsidP="0053310E">
      <w:pPr>
        <w:pStyle w:val="ListParagraph"/>
        <w:numPr>
          <w:ilvl w:val="1"/>
          <w:numId w:val="14"/>
        </w:numPr>
        <w:jc w:val="both"/>
        <w:rPr>
          <w:rFonts w:ascii="Times New Roman" w:hAnsi="Times New Roman" w:cs="Times New Roman"/>
          <w:b/>
          <w:bCs/>
        </w:rPr>
      </w:pPr>
      <w:r w:rsidRPr="0053310E">
        <w:rPr>
          <w:rFonts w:ascii="Times New Roman" w:hAnsi="Times New Roman" w:cs="Times New Roman"/>
          <w:b/>
          <w:bCs/>
        </w:rPr>
        <w:t xml:space="preserve">Sustainability Certification. </w:t>
      </w:r>
      <w:r w:rsidRPr="0053310E">
        <w:rPr>
          <w:rFonts w:ascii="Times New Roman" w:hAnsi="Times New Roman" w:cs="Times New Roman"/>
        </w:rPr>
        <w:t>Within two years of the issuance of a Final Certificate of Occupancy, the building must achieve LEED Silver, 3 Green Globes certification level, or equivalent certification. If the applicant chooses to pursue NGBS Silver</w:t>
      </w:r>
      <w:r>
        <w:rPr>
          <w:rFonts w:ascii="Times New Roman" w:hAnsi="Times New Roman" w:cs="Times New Roman"/>
        </w:rPr>
        <w:t xml:space="preserve"> </w:t>
      </w:r>
      <w:r w:rsidRPr="0053310E">
        <w:rPr>
          <w:rFonts w:ascii="Times New Roman" w:hAnsi="Times New Roman" w:cs="Times New Roman"/>
        </w:rPr>
        <w:t>Certification, an Energy Star Label will also be required within two years of the Final Certificate of Occupancy.</w:t>
      </w:r>
    </w:p>
    <w:p w14:paraId="629C476A" w14:textId="77777777" w:rsidR="0053310E" w:rsidRPr="0053310E" w:rsidRDefault="0053310E" w:rsidP="0053310E">
      <w:pPr>
        <w:pStyle w:val="ListParagraph"/>
        <w:numPr>
          <w:ilvl w:val="2"/>
          <w:numId w:val="14"/>
        </w:numPr>
        <w:jc w:val="both"/>
        <w:rPr>
          <w:rFonts w:ascii="Times New Roman" w:hAnsi="Times New Roman" w:cs="Times New Roman"/>
        </w:rPr>
      </w:pPr>
      <w:r w:rsidRPr="0053310E">
        <w:rPr>
          <w:rFonts w:ascii="Times New Roman" w:hAnsi="Times New Roman" w:cs="Times New Roman"/>
        </w:rPr>
        <w:t xml:space="preserve">The City will hold the Green Building Bond for the time necessary for the green certification, or equivalent, to be issued for twenty-four (24) months after issuance of the Certificate of Occupancy or Completion; whichever occurs first. Upon receiving final documentation of certification from the developer/owner/contractor, the City shall release the full amount of the bond within thirty (30) days. </w:t>
      </w:r>
    </w:p>
    <w:p w14:paraId="065A8D6B" w14:textId="1F0BE4B1" w:rsidR="0053310E" w:rsidRDefault="0053310E" w:rsidP="0053310E">
      <w:pPr>
        <w:pStyle w:val="ListParagraph"/>
        <w:numPr>
          <w:ilvl w:val="2"/>
          <w:numId w:val="14"/>
        </w:numPr>
        <w:jc w:val="both"/>
        <w:rPr>
          <w:rFonts w:ascii="Times New Roman" w:hAnsi="Times New Roman" w:cs="Times New Roman"/>
        </w:rPr>
      </w:pPr>
      <w:r w:rsidRPr="0053310E">
        <w:rPr>
          <w:rFonts w:ascii="Times New Roman" w:hAnsi="Times New Roman" w:cs="Times New Roman"/>
        </w:rPr>
        <w:t>If the developer/owner/contractor is unable to provide proof of green certification, or equivalent, within twenty-four (24) months after issuance of the Certificate of Occupancy or Completion, the full amount of the Green Building Bond shall be forfeited to the City. Any proceeds from the forfeiture of the bond under this section shall be allocated toward funding Sustainability Master Plan initiatives</w:t>
      </w:r>
    </w:p>
    <w:p w14:paraId="1E3F8BCA" w14:textId="03324551" w:rsidR="00EA7F4B" w:rsidRDefault="00120D60" w:rsidP="00EA7F4B">
      <w:pPr>
        <w:pStyle w:val="ListParagraph"/>
        <w:numPr>
          <w:ilvl w:val="1"/>
          <w:numId w:val="14"/>
        </w:numPr>
        <w:jc w:val="both"/>
        <w:rPr>
          <w:rFonts w:ascii="Times New Roman" w:hAnsi="Times New Roman" w:cs="Times New Roman"/>
        </w:rPr>
      </w:pPr>
      <w:r w:rsidRPr="007E1CF8">
        <w:rPr>
          <w:rFonts w:ascii="Times New Roman" w:hAnsi="Times New Roman" w:cs="Times New Roman"/>
          <w:b/>
          <w:bCs/>
        </w:rPr>
        <w:t xml:space="preserve">Public Realm Improvements. </w:t>
      </w:r>
      <w:r w:rsidR="008D7843" w:rsidRPr="008D7843">
        <w:rPr>
          <w:rFonts w:ascii="Times New Roman" w:hAnsi="Times New Roman" w:cs="Times New Roman"/>
        </w:rPr>
        <w:t>Within one (1) year from the</w:t>
      </w:r>
      <w:r w:rsidR="00E92A5B" w:rsidRPr="00E92A5B">
        <w:rPr>
          <w:rFonts w:ascii="Times New Roman" w:hAnsi="Times New Roman" w:cs="Times New Roman"/>
        </w:rPr>
        <w:t xml:space="preserve"> issuance of the </w:t>
      </w:r>
      <w:r w:rsidR="00A65374">
        <w:rPr>
          <w:rFonts w:ascii="Times New Roman" w:hAnsi="Times New Roman" w:cs="Times New Roman"/>
        </w:rPr>
        <w:t>final</w:t>
      </w:r>
      <w:r w:rsidR="00E92A5B" w:rsidRPr="00E92A5B">
        <w:rPr>
          <w:rFonts w:ascii="Times New Roman" w:hAnsi="Times New Roman" w:cs="Times New Roman"/>
        </w:rPr>
        <w:t xml:space="preserve"> Certificate of Occupancy, i</w:t>
      </w:r>
      <w:r w:rsidRPr="007E1CF8">
        <w:rPr>
          <w:rFonts w:ascii="Times New Roman" w:hAnsi="Times New Roman" w:cs="Times New Roman"/>
        </w:rPr>
        <w:t xml:space="preserve">nstall all proposed traffic flow modifications, including street design, crosswalk on south leg of Andalusia Avenue and Le Jeune Road, </w:t>
      </w:r>
      <w:r w:rsidRPr="007E1CF8">
        <w:rPr>
          <w:rFonts w:ascii="Times New Roman" w:hAnsi="Times New Roman" w:cs="Times New Roman"/>
          <w:color w:val="000000" w:themeColor="text1"/>
        </w:rPr>
        <w:t xml:space="preserve">bicycle infrastructure on both Andalusia and </w:t>
      </w:r>
      <w:proofErr w:type="spellStart"/>
      <w:r w:rsidRPr="007E1CF8">
        <w:rPr>
          <w:rFonts w:ascii="Times New Roman" w:hAnsi="Times New Roman" w:cs="Times New Roman"/>
          <w:color w:val="000000" w:themeColor="text1"/>
        </w:rPr>
        <w:t>Salzedo</w:t>
      </w:r>
      <w:proofErr w:type="spellEnd"/>
      <w:r w:rsidRPr="007E1CF8">
        <w:rPr>
          <w:rFonts w:ascii="Times New Roman" w:hAnsi="Times New Roman" w:cs="Times New Roman"/>
          <w:color w:val="000000" w:themeColor="text1"/>
        </w:rPr>
        <w:t xml:space="preserve">, reduction of travel lanes on Valencia, dedicated northbound left turn lane on </w:t>
      </w:r>
      <w:proofErr w:type="spellStart"/>
      <w:r w:rsidRPr="007E1CF8">
        <w:rPr>
          <w:rFonts w:ascii="Times New Roman" w:hAnsi="Times New Roman" w:cs="Times New Roman"/>
          <w:color w:val="000000" w:themeColor="text1"/>
        </w:rPr>
        <w:t>Salzedo</w:t>
      </w:r>
      <w:proofErr w:type="spellEnd"/>
      <w:r w:rsidRPr="007E1CF8">
        <w:rPr>
          <w:rFonts w:ascii="Times New Roman" w:hAnsi="Times New Roman" w:cs="Times New Roman"/>
          <w:color w:val="000000" w:themeColor="text1"/>
        </w:rPr>
        <w:t xml:space="preserve"> at Valencia, </w:t>
      </w:r>
      <w:r w:rsidRPr="007E1CF8">
        <w:rPr>
          <w:rFonts w:ascii="Times New Roman" w:hAnsi="Times New Roman" w:cs="Times New Roman"/>
        </w:rPr>
        <w:t xml:space="preserve">audible pedestrian countdown signals, “Do Not Block the Box” signage and markings on Le Jeune Road at Valencia and Andalusia, crosswalk on south side of Valencia at Le Jeune Road, and </w:t>
      </w:r>
      <w:r w:rsidRPr="007E1CF8">
        <w:rPr>
          <w:rFonts w:ascii="Times New Roman" w:hAnsi="Times New Roman" w:cs="Times New Roman"/>
        </w:rPr>
        <w:lastRenderedPageBreak/>
        <w:t xml:space="preserve">any required signal adjustment on </w:t>
      </w:r>
      <w:proofErr w:type="spellStart"/>
      <w:r w:rsidRPr="007E1CF8">
        <w:rPr>
          <w:rFonts w:ascii="Times New Roman" w:hAnsi="Times New Roman" w:cs="Times New Roman"/>
        </w:rPr>
        <w:t>Salzedo</w:t>
      </w:r>
      <w:proofErr w:type="spellEnd"/>
      <w:r w:rsidRPr="007E1CF8">
        <w:rPr>
          <w:rFonts w:ascii="Times New Roman" w:hAnsi="Times New Roman" w:cs="Times New Roman"/>
        </w:rPr>
        <w:t xml:space="preserve"> at Miracle Mile for southbound lane repurposing which have been approved by FDOT, the City of Coral Gables, and Miami-Dade County. </w:t>
      </w:r>
      <w:r w:rsidR="007E1CF8" w:rsidRPr="007E1CF8">
        <w:rPr>
          <w:rFonts w:ascii="Times New Roman" w:hAnsi="Times New Roman" w:cs="Times New Roman"/>
        </w:rPr>
        <w:t xml:space="preserve">Address all issues highlighted in the Traffic Impact Study, including repair non-functioning pedestrian signal (WALK display) on the south-east corner of Miracle Mile and </w:t>
      </w:r>
      <w:proofErr w:type="spellStart"/>
      <w:r w:rsidR="007E1CF8" w:rsidRPr="007E1CF8">
        <w:rPr>
          <w:rFonts w:ascii="Times New Roman" w:hAnsi="Times New Roman" w:cs="Times New Roman"/>
        </w:rPr>
        <w:t>Salzedo</w:t>
      </w:r>
      <w:proofErr w:type="spellEnd"/>
      <w:r w:rsidR="007E1CF8" w:rsidRPr="007E1CF8">
        <w:rPr>
          <w:rFonts w:ascii="Times New Roman" w:hAnsi="Times New Roman" w:cs="Times New Roman"/>
        </w:rPr>
        <w:t xml:space="preserve">; restripe existing crosswalks on Le Jeune Road and Valencia; and install missing piece of the existing portion of curb ramp on north-east corner. Any changes to and departures from the right-of-way and public realm improvements identified on the Applicant’s approved plans and associated detail plans and specifications via the permitting process shall be subject to review and approval by Directors of Public Works, Landscape Services, and Planning and Zoning, and Florida Department of Transportation (FDOT) and Miami-Dade County, as applicable. </w:t>
      </w:r>
    </w:p>
    <w:p w14:paraId="7ACC0402" w14:textId="4DBBC7B7" w:rsidR="00EA7F4B" w:rsidRDefault="00EA7F4B" w:rsidP="00EA7F4B">
      <w:pPr>
        <w:pStyle w:val="ListParagraph"/>
        <w:numPr>
          <w:ilvl w:val="1"/>
          <w:numId w:val="14"/>
        </w:numPr>
        <w:jc w:val="both"/>
        <w:rPr>
          <w:rFonts w:ascii="Times New Roman" w:hAnsi="Times New Roman" w:cs="Times New Roman"/>
        </w:rPr>
      </w:pPr>
      <w:r w:rsidRPr="008E025B">
        <w:rPr>
          <w:rFonts w:ascii="Times New Roman" w:hAnsi="Times New Roman" w:cs="Times New Roman"/>
          <w:b/>
          <w:bCs/>
        </w:rPr>
        <w:t>Underground overhead utilities.</w:t>
      </w:r>
      <w:r w:rsidRPr="008E025B">
        <w:rPr>
          <w:rFonts w:ascii="Times New Roman" w:hAnsi="Times New Roman" w:cs="Times New Roman"/>
        </w:rPr>
        <w:t xml:space="preserve"> </w:t>
      </w:r>
      <w:proofErr w:type="gramStart"/>
      <w:r w:rsidR="0072740C">
        <w:rPr>
          <w:rFonts w:ascii="Times New Roman" w:hAnsi="Times New Roman" w:cs="Times New Roman"/>
        </w:rPr>
        <w:t>Applicant</w:t>
      </w:r>
      <w:proofErr w:type="gramEnd"/>
      <w:r w:rsidR="0072740C">
        <w:rPr>
          <w:rFonts w:ascii="Times New Roman" w:hAnsi="Times New Roman" w:cs="Times New Roman"/>
        </w:rPr>
        <w:t xml:space="preserve"> shall cause </w:t>
      </w:r>
      <w:r>
        <w:rPr>
          <w:rFonts w:ascii="Times New Roman" w:hAnsi="Times New Roman" w:cs="Times New Roman"/>
        </w:rPr>
        <w:t>FPL</w:t>
      </w:r>
      <w:r w:rsidRPr="008E025B">
        <w:rPr>
          <w:rFonts w:ascii="Times New Roman" w:hAnsi="Times New Roman" w:cs="Times New Roman"/>
        </w:rPr>
        <w:t xml:space="preserve"> </w:t>
      </w:r>
      <w:r w:rsidR="00320A7C">
        <w:rPr>
          <w:rFonts w:ascii="Times New Roman" w:hAnsi="Times New Roman" w:cs="Times New Roman"/>
        </w:rPr>
        <w:t>to</w:t>
      </w:r>
      <w:r w:rsidRPr="008E025B">
        <w:rPr>
          <w:rFonts w:ascii="Times New Roman" w:hAnsi="Times New Roman" w:cs="Times New Roman"/>
        </w:rPr>
        <w:t xml:space="preserve"> provide all necessary plans and documents to underground all utilities along </w:t>
      </w:r>
      <w:proofErr w:type="spellStart"/>
      <w:r w:rsidRPr="008E025B">
        <w:rPr>
          <w:rFonts w:ascii="Times New Roman" w:hAnsi="Times New Roman" w:cs="Times New Roman"/>
        </w:rPr>
        <w:t>Salzedo</w:t>
      </w:r>
      <w:proofErr w:type="spellEnd"/>
      <w:r w:rsidRPr="008E025B">
        <w:rPr>
          <w:rFonts w:ascii="Times New Roman" w:hAnsi="Times New Roman" w:cs="Times New Roman"/>
        </w:rPr>
        <w:t xml:space="preserve"> Street from the alley north of Andalusia to the alley south of Valencia and along Andalusia Avenue on the project site, subject to review and approval by the Directors of Public Works, Landscape Services and Planning and Zoning, and the applicable utility companies.</w:t>
      </w:r>
      <w:r>
        <w:rPr>
          <w:rFonts w:ascii="Times New Roman" w:hAnsi="Times New Roman" w:cs="Times New Roman"/>
        </w:rPr>
        <w:t xml:space="preserve"> </w:t>
      </w:r>
      <w:proofErr w:type="gramStart"/>
      <w:r w:rsidR="00E92A5B">
        <w:rPr>
          <w:rFonts w:ascii="Times New Roman" w:hAnsi="Times New Roman" w:cs="Times New Roman"/>
        </w:rPr>
        <w:t>Applicant</w:t>
      </w:r>
      <w:proofErr w:type="gramEnd"/>
      <w:r w:rsidR="00E92A5B">
        <w:rPr>
          <w:rFonts w:ascii="Times New Roman" w:hAnsi="Times New Roman" w:cs="Times New Roman"/>
        </w:rPr>
        <w:t xml:space="preserve"> shall c</w:t>
      </w:r>
      <w:r w:rsidRPr="008E025B">
        <w:rPr>
          <w:rFonts w:ascii="Times New Roman" w:hAnsi="Times New Roman" w:cs="Times New Roman"/>
        </w:rPr>
        <w:t xml:space="preserve">omplete the undergrounding of all utilities along </w:t>
      </w:r>
      <w:proofErr w:type="spellStart"/>
      <w:r w:rsidRPr="008E025B">
        <w:rPr>
          <w:rFonts w:ascii="Times New Roman" w:hAnsi="Times New Roman" w:cs="Times New Roman"/>
        </w:rPr>
        <w:t>Salzedo</w:t>
      </w:r>
      <w:proofErr w:type="spellEnd"/>
      <w:r w:rsidRPr="008E025B">
        <w:rPr>
          <w:rFonts w:ascii="Times New Roman" w:hAnsi="Times New Roman" w:cs="Times New Roman"/>
        </w:rPr>
        <w:t xml:space="preserve"> Street from the alley north of Andalusia to the alley south of Valencia, and along Andalusia Avenue on the project site, subject to review and approval by the Directors of Public Works, Landscape Services, and Planning and Zoning</w:t>
      </w:r>
      <w:r>
        <w:rPr>
          <w:rFonts w:ascii="Times New Roman" w:hAnsi="Times New Roman" w:cs="Times New Roman"/>
        </w:rPr>
        <w:t>.</w:t>
      </w:r>
    </w:p>
    <w:p w14:paraId="72A338EE" w14:textId="77777777" w:rsidR="00EA7F4B" w:rsidRPr="00EA7F4B" w:rsidRDefault="00EA7F4B" w:rsidP="00EA7F4B">
      <w:pPr>
        <w:pStyle w:val="ListParagraph"/>
        <w:ind w:left="1080"/>
        <w:jc w:val="both"/>
        <w:rPr>
          <w:rFonts w:ascii="Times New Roman" w:hAnsi="Times New Roman" w:cs="Times New Roman"/>
        </w:rPr>
      </w:pPr>
    </w:p>
    <w:p w14:paraId="084F5C52" w14:textId="77777777" w:rsidR="00EA7F4B" w:rsidRPr="007E1CF8" w:rsidRDefault="00EA7F4B" w:rsidP="00EA7F4B">
      <w:pPr>
        <w:pStyle w:val="ListParagraph"/>
        <w:ind w:left="1530"/>
        <w:jc w:val="both"/>
        <w:rPr>
          <w:rFonts w:ascii="Times New Roman" w:hAnsi="Times New Roman" w:cs="Times New Roman"/>
        </w:rPr>
      </w:pPr>
    </w:p>
    <w:p w14:paraId="2A6A51A7" w14:textId="1ADFAF3A" w:rsidR="00120D60" w:rsidRDefault="00120D60" w:rsidP="007E1CF8">
      <w:pPr>
        <w:pStyle w:val="ListParagraph"/>
        <w:ind w:left="1530"/>
        <w:jc w:val="both"/>
        <w:rPr>
          <w:rFonts w:ascii="Times New Roman" w:hAnsi="Times New Roman" w:cs="Times New Roman"/>
        </w:rPr>
      </w:pPr>
    </w:p>
    <w:p w14:paraId="496F785F" w14:textId="4BCB49C3" w:rsidR="00120D60" w:rsidRPr="00120D60" w:rsidRDefault="00120D60" w:rsidP="00120D60">
      <w:pPr>
        <w:pStyle w:val="ListParagraph"/>
        <w:ind w:left="1080"/>
        <w:jc w:val="both"/>
        <w:rPr>
          <w:rFonts w:ascii="Times New Roman" w:hAnsi="Times New Roman" w:cs="Times New Roman"/>
          <w:b/>
          <w:bCs/>
        </w:rPr>
      </w:pPr>
    </w:p>
    <w:p w14:paraId="5EFBB4FC" w14:textId="77777777" w:rsidR="00624FB1" w:rsidRPr="00624FB1" w:rsidRDefault="00624FB1" w:rsidP="00624FB1">
      <w:pPr>
        <w:ind w:left="720"/>
        <w:jc w:val="both"/>
        <w:rPr>
          <w:rFonts w:ascii="Times New Roman" w:hAnsi="Times New Roman" w:cs="Times New Roman"/>
        </w:rPr>
      </w:pPr>
    </w:p>
    <w:p w14:paraId="42C9A734" w14:textId="77777777" w:rsidR="00624FB1" w:rsidRPr="00286E7A" w:rsidRDefault="00624FB1" w:rsidP="00286E7A">
      <w:pPr>
        <w:ind w:left="720"/>
        <w:jc w:val="both"/>
      </w:pPr>
    </w:p>
    <w:sectPr w:rsidR="00624FB1" w:rsidRPr="00286E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0E27" w14:textId="77777777" w:rsidR="006A7CE3" w:rsidRDefault="006A7CE3" w:rsidP="000F4B54">
      <w:pPr>
        <w:spacing w:after="0" w:line="240" w:lineRule="auto"/>
      </w:pPr>
      <w:r>
        <w:separator/>
      </w:r>
    </w:p>
  </w:endnote>
  <w:endnote w:type="continuationSeparator" w:id="0">
    <w:p w14:paraId="23697FD2" w14:textId="77777777" w:rsidR="006A7CE3" w:rsidRDefault="006A7CE3" w:rsidP="000F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2BA1" w14:textId="77777777" w:rsidR="006A7CE3" w:rsidRDefault="006A7CE3" w:rsidP="000F4B54">
      <w:pPr>
        <w:spacing w:after="0" w:line="240" w:lineRule="auto"/>
      </w:pPr>
      <w:r>
        <w:separator/>
      </w:r>
    </w:p>
  </w:footnote>
  <w:footnote w:type="continuationSeparator" w:id="0">
    <w:p w14:paraId="3D81DC15" w14:textId="77777777" w:rsidR="006A7CE3" w:rsidRDefault="006A7CE3" w:rsidP="000F4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D17"/>
    <w:multiLevelType w:val="hybridMultilevel"/>
    <w:tmpl w:val="92FC78A6"/>
    <w:lvl w:ilvl="0" w:tplc="ECB8CCCE">
      <w:start w:val="4"/>
      <w:numFmt w:val="lowerLetter"/>
      <w:lvlText w:val="%1."/>
      <w:lvlJc w:val="left"/>
      <w:pPr>
        <w:ind w:left="63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1E0706A"/>
    <w:multiLevelType w:val="hybridMultilevel"/>
    <w:tmpl w:val="65BC706C"/>
    <w:lvl w:ilvl="0" w:tplc="7A28CAE2">
      <w:start w:val="1"/>
      <w:numFmt w:val="lowerLetter"/>
      <w:lvlText w:val="%1."/>
      <w:lvlJc w:val="left"/>
      <w:pPr>
        <w:ind w:left="720" w:hanging="360"/>
      </w:pPr>
      <w:rPr>
        <w:b w:val="0"/>
        <w:bCs w:val="0"/>
        <w:i w:val="0"/>
        <w:iCs w:val="0"/>
        <w:color w:val="auto"/>
      </w:rPr>
    </w:lvl>
    <w:lvl w:ilvl="1" w:tplc="7F2A0F9A">
      <w:start w:val="1"/>
      <w:numFmt w:val="lowerRoman"/>
      <w:lvlText w:val="%2."/>
      <w:lvlJc w:val="right"/>
      <w:pPr>
        <w:ind w:left="1440" w:hanging="360"/>
      </w:pPr>
      <w:rPr>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5380"/>
    <w:multiLevelType w:val="hybridMultilevel"/>
    <w:tmpl w:val="C4C8B4A2"/>
    <w:lvl w:ilvl="0" w:tplc="0409000F">
      <w:start w:val="1"/>
      <w:numFmt w:val="decimal"/>
      <w:lvlText w:val="%1."/>
      <w:lvlJc w:val="left"/>
      <w:pPr>
        <w:ind w:left="360" w:hanging="360"/>
      </w:pPr>
    </w:lvl>
    <w:lvl w:ilvl="1" w:tplc="2AAEBD3C">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F798E"/>
    <w:multiLevelType w:val="hybridMultilevel"/>
    <w:tmpl w:val="23F01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4C59CA"/>
    <w:multiLevelType w:val="hybridMultilevel"/>
    <w:tmpl w:val="C0DE9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13D7C"/>
    <w:multiLevelType w:val="hybridMultilevel"/>
    <w:tmpl w:val="50C85900"/>
    <w:lvl w:ilvl="0" w:tplc="BCD6F3CA">
      <w:start w:val="5"/>
      <w:numFmt w:val="lowerRoman"/>
      <w:lvlText w:val="%1."/>
      <w:lvlJc w:val="right"/>
      <w:pPr>
        <w:ind w:left="1440" w:hanging="360"/>
      </w:pPr>
      <w:rPr>
        <w:rFonts w:hint="default"/>
        <w:b w:val="0"/>
        <w:b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D13648"/>
    <w:multiLevelType w:val="hybridMultilevel"/>
    <w:tmpl w:val="3758A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66DD0"/>
    <w:multiLevelType w:val="hybridMultilevel"/>
    <w:tmpl w:val="30B4B240"/>
    <w:lvl w:ilvl="0" w:tplc="B1F0E8A2">
      <w:start w:val="3"/>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0876CBE"/>
    <w:multiLevelType w:val="hybridMultilevel"/>
    <w:tmpl w:val="D2C0A54A"/>
    <w:lvl w:ilvl="0" w:tplc="8F5C2446">
      <w:start w:val="5"/>
      <w:numFmt w:val="lowerRoman"/>
      <w:lvlText w:val="%1."/>
      <w:lvlJc w:val="right"/>
      <w:pPr>
        <w:ind w:left="15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B3B32"/>
    <w:multiLevelType w:val="hybridMultilevel"/>
    <w:tmpl w:val="6B1ED48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315C51A6"/>
    <w:multiLevelType w:val="hybridMultilevel"/>
    <w:tmpl w:val="1262A83E"/>
    <w:lvl w:ilvl="0" w:tplc="3B8025F0">
      <w:start w:val="22"/>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D222B"/>
    <w:multiLevelType w:val="hybridMultilevel"/>
    <w:tmpl w:val="28188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51D85"/>
    <w:multiLevelType w:val="hybridMultilevel"/>
    <w:tmpl w:val="19B44D90"/>
    <w:lvl w:ilvl="0" w:tplc="F6D28546">
      <w:start w:val="1"/>
      <w:numFmt w:val="lowerRoman"/>
      <w:lvlText w:val="%1."/>
      <w:lvlJc w:val="right"/>
      <w:pPr>
        <w:ind w:left="15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37E80"/>
    <w:multiLevelType w:val="hybridMultilevel"/>
    <w:tmpl w:val="B372B5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3A3E93"/>
    <w:multiLevelType w:val="hybridMultilevel"/>
    <w:tmpl w:val="3FA625DE"/>
    <w:lvl w:ilvl="0" w:tplc="0409001B">
      <w:start w:val="1"/>
      <w:numFmt w:val="lowerRoman"/>
      <w:lvlText w:val="%1."/>
      <w:lvlJc w:val="right"/>
      <w:pPr>
        <w:ind w:left="1440" w:hanging="360"/>
      </w:pPr>
    </w:lvl>
    <w:lvl w:ilvl="1" w:tplc="0409001B">
      <w:start w:val="1"/>
      <w:numFmt w:val="lowerRoman"/>
      <w:lvlText w:val="%2."/>
      <w:lvlJc w:val="right"/>
      <w:pPr>
        <w:ind w:left="1080" w:hanging="360"/>
      </w:pPr>
    </w:lvl>
    <w:lvl w:ilvl="2" w:tplc="00CA8FF8">
      <w:start w:val="1"/>
      <w:numFmt w:val="lowerRoman"/>
      <w:lvlText w:val="%3."/>
      <w:lvlJc w:val="right"/>
      <w:pPr>
        <w:ind w:left="153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DB5630"/>
    <w:multiLevelType w:val="hybridMultilevel"/>
    <w:tmpl w:val="4DA07522"/>
    <w:lvl w:ilvl="0" w:tplc="83B40EF8">
      <w:start w:val="100"/>
      <w:numFmt w:val="lowerRoman"/>
      <w:lvlText w:val="%1."/>
      <w:lvlJc w:val="right"/>
      <w:pPr>
        <w:ind w:left="15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2430D"/>
    <w:multiLevelType w:val="hybridMultilevel"/>
    <w:tmpl w:val="A4E4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F3612"/>
    <w:multiLevelType w:val="hybridMultilevel"/>
    <w:tmpl w:val="406037E0"/>
    <w:lvl w:ilvl="0" w:tplc="C076F466">
      <w:start w:val="4"/>
      <w:numFmt w:val="lowerLetter"/>
      <w:lvlText w:val="%1."/>
      <w:lvlJc w:val="left"/>
      <w:pPr>
        <w:ind w:left="720" w:hanging="360"/>
      </w:pPr>
      <w:rPr>
        <w:rFonts w:hint="default"/>
      </w:rPr>
    </w:lvl>
    <w:lvl w:ilvl="1" w:tplc="13F4C9B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94D26"/>
    <w:multiLevelType w:val="hybridMultilevel"/>
    <w:tmpl w:val="2BF830A4"/>
    <w:lvl w:ilvl="0" w:tplc="9174BD36">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75C34"/>
    <w:multiLevelType w:val="hybridMultilevel"/>
    <w:tmpl w:val="207EF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114003">
    <w:abstractNumId w:val="17"/>
  </w:num>
  <w:num w:numId="2" w16cid:durableId="318970312">
    <w:abstractNumId w:val="14"/>
  </w:num>
  <w:num w:numId="3" w16cid:durableId="439224781">
    <w:abstractNumId w:val="8"/>
  </w:num>
  <w:num w:numId="4" w16cid:durableId="1079836871">
    <w:abstractNumId w:val="3"/>
  </w:num>
  <w:num w:numId="5" w16cid:durableId="1278610248">
    <w:abstractNumId w:val="0"/>
  </w:num>
  <w:num w:numId="6" w16cid:durableId="403184205">
    <w:abstractNumId w:val="12"/>
  </w:num>
  <w:num w:numId="7" w16cid:durableId="296298369">
    <w:abstractNumId w:val="13"/>
  </w:num>
  <w:num w:numId="8" w16cid:durableId="1115756789">
    <w:abstractNumId w:val="1"/>
  </w:num>
  <w:num w:numId="9" w16cid:durableId="1351487239">
    <w:abstractNumId w:val="11"/>
  </w:num>
  <w:num w:numId="10" w16cid:durableId="691340144">
    <w:abstractNumId w:val="7"/>
  </w:num>
  <w:num w:numId="11" w16cid:durableId="1091583212">
    <w:abstractNumId w:val="18"/>
  </w:num>
  <w:num w:numId="12" w16cid:durableId="1870794827">
    <w:abstractNumId w:val="10"/>
  </w:num>
  <w:num w:numId="13" w16cid:durableId="907496163">
    <w:abstractNumId w:val="5"/>
  </w:num>
  <w:num w:numId="14" w16cid:durableId="1806582168">
    <w:abstractNumId w:val="2"/>
  </w:num>
  <w:num w:numId="15" w16cid:durableId="1351419835">
    <w:abstractNumId w:val="16"/>
  </w:num>
  <w:num w:numId="16" w16cid:durableId="506023430">
    <w:abstractNumId w:val="19"/>
  </w:num>
  <w:num w:numId="17" w16cid:durableId="1510023900">
    <w:abstractNumId w:val="6"/>
  </w:num>
  <w:num w:numId="18" w16cid:durableId="1422677781">
    <w:abstractNumId w:val="4"/>
  </w:num>
  <w:num w:numId="19" w16cid:durableId="1493722030">
    <w:abstractNumId w:val="15"/>
  </w:num>
  <w:num w:numId="20" w16cid:durableId="261493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7A"/>
    <w:rsid w:val="000248F1"/>
    <w:rsid w:val="00063408"/>
    <w:rsid w:val="00074203"/>
    <w:rsid w:val="000E0312"/>
    <w:rsid w:val="000E033E"/>
    <w:rsid w:val="000F4B54"/>
    <w:rsid w:val="0011515A"/>
    <w:rsid w:val="00120D60"/>
    <w:rsid w:val="00122C23"/>
    <w:rsid w:val="00136E58"/>
    <w:rsid w:val="00231A2F"/>
    <w:rsid w:val="00243227"/>
    <w:rsid w:val="0028188A"/>
    <w:rsid w:val="00286E7A"/>
    <w:rsid w:val="00320A7C"/>
    <w:rsid w:val="00324B76"/>
    <w:rsid w:val="00354256"/>
    <w:rsid w:val="00365089"/>
    <w:rsid w:val="00482AE3"/>
    <w:rsid w:val="004900D3"/>
    <w:rsid w:val="0049181D"/>
    <w:rsid w:val="0053310E"/>
    <w:rsid w:val="005A64ED"/>
    <w:rsid w:val="005E5956"/>
    <w:rsid w:val="00601789"/>
    <w:rsid w:val="00624FB1"/>
    <w:rsid w:val="00665E13"/>
    <w:rsid w:val="006948C9"/>
    <w:rsid w:val="006A5AF2"/>
    <w:rsid w:val="006A7CE3"/>
    <w:rsid w:val="006F3108"/>
    <w:rsid w:val="0072740C"/>
    <w:rsid w:val="007871A2"/>
    <w:rsid w:val="007E1CF8"/>
    <w:rsid w:val="00861C98"/>
    <w:rsid w:val="008D1025"/>
    <w:rsid w:val="008D7843"/>
    <w:rsid w:val="008E025B"/>
    <w:rsid w:val="00926A20"/>
    <w:rsid w:val="009832FC"/>
    <w:rsid w:val="009B53C4"/>
    <w:rsid w:val="009E3C23"/>
    <w:rsid w:val="00A65374"/>
    <w:rsid w:val="00A92F5D"/>
    <w:rsid w:val="00AA66A3"/>
    <w:rsid w:val="00B369F5"/>
    <w:rsid w:val="00BB0D41"/>
    <w:rsid w:val="00BB6BFB"/>
    <w:rsid w:val="00BE7902"/>
    <w:rsid w:val="00C01232"/>
    <w:rsid w:val="00C31995"/>
    <w:rsid w:val="00CC0B05"/>
    <w:rsid w:val="00D25B43"/>
    <w:rsid w:val="00D44CB0"/>
    <w:rsid w:val="00D736ED"/>
    <w:rsid w:val="00D93D93"/>
    <w:rsid w:val="00D96B34"/>
    <w:rsid w:val="00DB30B1"/>
    <w:rsid w:val="00DB7436"/>
    <w:rsid w:val="00E56BC7"/>
    <w:rsid w:val="00E6634D"/>
    <w:rsid w:val="00E92A5B"/>
    <w:rsid w:val="00EA7F4B"/>
    <w:rsid w:val="00F049A7"/>
    <w:rsid w:val="00F167F3"/>
    <w:rsid w:val="00F4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DB7E"/>
  <w15:chartTrackingRefBased/>
  <w15:docId w15:val="{250F46F0-6FE0-40E3-B502-6B8C158F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E7A"/>
    <w:rPr>
      <w:rFonts w:eastAsiaTheme="majorEastAsia" w:cstheme="majorBidi"/>
      <w:color w:val="272727" w:themeColor="text1" w:themeTint="D8"/>
    </w:rPr>
  </w:style>
  <w:style w:type="paragraph" w:styleId="Title">
    <w:name w:val="Title"/>
    <w:basedOn w:val="Normal"/>
    <w:next w:val="Normal"/>
    <w:link w:val="TitleChar"/>
    <w:uiPriority w:val="10"/>
    <w:qFormat/>
    <w:rsid w:val="0028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E7A"/>
    <w:pPr>
      <w:spacing w:before="160"/>
      <w:jc w:val="center"/>
    </w:pPr>
    <w:rPr>
      <w:i/>
      <w:iCs/>
      <w:color w:val="404040" w:themeColor="text1" w:themeTint="BF"/>
    </w:rPr>
  </w:style>
  <w:style w:type="character" w:customStyle="1" w:styleId="QuoteChar">
    <w:name w:val="Quote Char"/>
    <w:basedOn w:val="DefaultParagraphFont"/>
    <w:link w:val="Quote"/>
    <w:uiPriority w:val="29"/>
    <w:rsid w:val="00286E7A"/>
    <w:rPr>
      <w:i/>
      <w:iCs/>
      <w:color w:val="404040" w:themeColor="text1" w:themeTint="BF"/>
    </w:rPr>
  </w:style>
  <w:style w:type="paragraph" w:styleId="ListParagraph">
    <w:name w:val="List Paragraph"/>
    <w:basedOn w:val="Normal"/>
    <w:uiPriority w:val="34"/>
    <w:qFormat/>
    <w:rsid w:val="00286E7A"/>
    <w:pPr>
      <w:ind w:left="720"/>
      <w:contextualSpacing/>
    </w:pPr>
  </w:style>
  <w:style w:type="character" w:styleId="IntenseEmphasis">
    <w:name w:val="Intense Emphasis"/>
    <w:basedOn w:val="DefaultParagraphFont"/>
    <w:uiPriority w:val="21"/>
    <w:qFormat/>
    <w:rsid w:val="00286E7A"/>
    <w:rPr>
      <w:i/>
      <w:iCs/>
      <w:color w:val="0F4761" w:themeColor="accent1" w:themeShade="BF"/>
    </w:rPr>
  </w:style>
  <w:style w:type="paragraph" w:styleId="IntenseQuote">
    <w:name w:val="Intense Quote"/>
    <w:basedOn w:val="Normal"/>
    <w:next w:val="Normal"/>
    <w:link w:val="IntenseQuoteChar"/>
    <w:uiPriority w:val="30"/>
    <w:qFormat/>
    <w:rsid w:val="0028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E7A"/>
    <w:rPr>
      <w:i/>
      <w:iCs/>
      <w:color w:val="0F4761" w:themeColor="accent1" w:themeShade="BF"/>
    </w:rPr>
  </w:style>
  <w:style w:type="character" w:styleId="IntenseReference">
    <w:name w:val="Intense Reference"/>
    <w:basedOn w:val="DefaultParagraphFont"/>
    <w:uiPriority w:val="32"/>
    <w:qFormat/>
    <w:rsid w:val="00286E7A"/>
    <w:rPr>
      <w:b/>
      <w:bCs/>
      <w:smallCaps/>
      <w:color w:val="0F4761" w:themeColor="accent1" w:themeShade="BF"/>
      <w:spacing w:val="5"/>
    </w:rPr>
  </w:style>
  <w:style w:type="paragraph" w:styleId="Revision">
    <w:name w:val="Revision"/>
    <w:hidden/>
    <w:uiPriority w:val="99"/>
    <w:semiHidden/>
    <w:rsid w:val="00354256"/>
    <w:pPr>
      <w:spacing w:after="0" w:line="240" w:lineRule="auto"/>
    </w:pPr>
  </w:style>
  <w:style w:type="paragraph" w:styleId="Header">
    <w:name w:val="header"/>
    <w:basedOn w:val="Normal"/>
    <w:link w:val="HeaderChar"/>
    <w:uiPriority w:val="99"/>
    <w:unhideWhenUsed/>
    <w:rsid w:val="000F4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B54"/>
  </w:style>
  <w:style w:type="paragraph" w:styleId="Footer">
    <w:name w:val="footer"/>
    <w:basedOn w:val="Normal"/>
    <w:link w:val="FooterChar"/>
    <w:uiPriority w:val="99"/>
    <w:unhideWhenUsed/>
    <w:rsid w:val="000F4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54"/>
  </w:style>
  <w:style w:type="character" w:styleId="CommentReference">
    <w:name w:val="annotation reference"/>
    <w:basedOn w:val="DefaultParagraphFont"/>
    <w:uiPriority w:val="99"/>
    <w:semiHidden/>
    <w:unhideWhenUsed/>
    <w:rsid w:val="0049181D"/>
    <w:rPr>
      <w:sz w:val="16"/>
      <w:szCs w:val="16"/>
    </w:rPr>
  </w:style>
  <w:style w:type="paragraph" w:styleId="CommentText">
    <w:name w:val="annotation text"/>
    <w:basedOn w:val="Normal"/>
    <w:link w:val="CommentTextChar"/>
    <w:uiPriority w:val="99"/>
    <w:unhideWhenUsed/>
    <w:rsid w:val="0049181D"/>
    <w:pPr>
      <w:spacing w:line="240" w:lineRule="auto"/>
    </w:pPr>
    <w:rPr>
      <w:sz w:val="20"/>
      <w:szCs w:val="20"/>
    </w:rPr>
  </w:style>
  <w:style w:type="character" w:customStyle="1" w:styleId="CommentTextChar">
    <w:name w:val="Comment Text Char"/>
    <w:basedOn w:val="DefaultParagraphFont"/>
    <w:link w:val="CommentText"/>
    <w:uiPriority w:val="99"/>
    <w:rsid w:val="0049181D"/>
    <w:rPr>
      <w:sz w:val="20"/>
      <w:szCs w:val="20"/>
    </w:rPr>
  </w:style>
  <w:style w:type="paragraph" w:styleId="CommentSubject">
    <w:name w:val="annotation subject"/>
    <w:basedOn w:val="CommentText"/>
    <w:next w:val="CommentText"/>
    <w:link w:val="CommentSubjectChar"/>
    <w:uiPriority w:val="99"/>
    <w:semiHidden/>
    <w:unhideWhenUsed/>
    <w:rsid w:val="0049181D"/>
    <w:rPr>
      <w:b/>
      <w:bCs/>
    </w:rPr>
  </w:style>
  <w:style w:type="character" w:customStyle="1" w:styleId="CommentSubjectChar">
    <w:name w:val="Comment Subject Char"/>
    <w:basedOn w:val="CommentTextChar"/>
    <w:link w:val="CommentSubject"/>
    <w:uiPriority w:val="99"/>
    <w:semiHidden/>
    <w:rsid w:val="00491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Muñiz, Teresa</dc:creator>
  <cp:keywords/>
  <dc:description/>
  <cp:lastModifiedBy>Muñiz, Teresa</cp:lastModifiedBy>
  <cp:revision>2</cp:revision>
  <dcterms:created xsi:type="dcterms:W3CDTF">2026-05-04T21:32:00Z</dcterms:created>
  <dcterms:modified xsi:type="dcterms:W3CDTF">2026-05-04T21:32:00Z</dcterms:modified>
</cp:coreProperties>
</file>